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DA582">
      <w:pPr>
        <w:spacing w:line="360" w:lineRule="auto"/>
        <w:jc w:val="center"/>
        <w:rPr>
          <w:b/>
          <w:sz w:val="36"/>
          <w:szCs w:val="36"/>
        </w:rPr>
      </w:pPr>
      <w:bookmarkStart w:id="0" w:name="OLE_LINK5"/>
      <w:bookmarkStart w:id="1" w:name="OLE_LINK4"/>
      <w:r>
        <w:rPr>
          <w:rFonts w:hint="eastAsia"/>
          <w:b/>
          <w:sz w:val="36"/>
          <w:szCs w:val="36"/>
        </w:rPr>
        <w:t>新大洲控股股份有限公司</w:t>
      </w:r>
      <w:bookmarkEnd w:id="0"/>
      <w:bookmarkEnd w:id="1"/>
    </w:p>
    <w:p w14:paraId="29165879">
      <w:pPr>
        <w:spacing w:line="360" w:lineRule="auto"/>
        <w:jc w:val="center"/>
        <w:rPr>
          <w:b/>
          <w:sz w:val="36"/>
          <w:szCs w:val="36"/>
        </w:rPr>
      </w:pPr>
      <w:r>
        <w:rPr>
          <w:rFonts w:hint="eastAsia"/>
          <w:b/>
          <w:sz w:val="36"/>
          <w:szCs w:val="36"/>
        </w:rPr>
        <w:t>董事、高级管理人员薪酬管理制度</w:t>
      </w:r>
    </w:p>
    <w:p w14:paraId="37F995DA">
      <w:pPr>
        <w:spacing w:line="360" w:lineRule="auto"/>
        <w:jc w:val="center"/>
        <w:rPr>
          <w:sz w:val="18"/>
          <w:szCs w:val="18"/>
        </w:rPr>
      </w:pPr>
    </w:p>
    <w:p w14:paraId="05572265">
      <w:pPr>
        <w:pStyle w:val="11"/>
        <w:numPr>
          <w:ilvl w:val="0"/>
          <w:numId w:val="1"/>
        </w:numPr>
        <w:spacing w:line="360" w:lineRule="auto"/>
        <w:ind w:firstLineChars="0"/>
        <w:jc w:val="center"/>
        <w:rPr>
          <w:b/>
          <w:sz w:val="24"/>
          <w:szCs w:val="24"/>
        </w:rPr>
      </w:pPr>
      <w:r>
        <w:rPr>
          <w:rFonts w:hint="eastAsia"/>
          <w:b/>
          <w:sz w:val="24"/>
          <w:szCs w:val="24"/>
        </w:rPr>
        <w:t>总  则</w:t>
      </w:r>
    </w:p>
    <w:p w14:paraId="40675D59">
      <w:pPr>
        <w:pStyle w:val="11"/>
        <w:numPr>
          <w:ilvl w:val="0"/>
          <w:numId w:val="2"/>
        </w:numPr>
        <w:spacing w:line="360" w:lineRule="auto"/>
        <w:ind w:left="734" w:hanging="734" w:hangingChars="306"/>
        <w:rPr>
          <w:sz w:val="24"/>
          <w:szCs w:val="24"/>
        </w:rPr>
      </w:pPr>
      <w:r>
        <w:rPr>
          <w:rFonts w:hint="eastAsia"/>
          <w:sz w:val="24"/>
          <w:szCs w:val="24"/>
        </w:rPr>
        <w:t xml:space="preserve"> 为进一步规范新大洲控股股份有限公司（以下简称“公司”）的薪酬管理工作，建立有效的薪酬激励和约束机制，依据</w:t>
      </w:r>
      <w:r>
        <w:rPr>
          <w:rFonts w:hint="eastAsia" w:ascii="宋体" w:eastAsia="宋体" w:cs="宋体"/>
          <w:kern w:val="0"/>
          <w:sz w:val="24"/>
          <w:szCs w:val="24"/>
        </w:rPr>
        <w:t>《上市公司治理准则》等</w:t>
      </w:r>
      <w:r>
        <w:rPr>
          <w:rFonts w:hint="eastAsia"/>
          <w:sz w:val="24"/>
          <w:szCs w:val="24"/>
        </w:rPr>
        <w:t>有关法律、法规及《公司章程》、《董事会薪酬与考核委员会工作细则》的有关规定，结合公司实际情况，制定本制度。</w:t>
      </w:r>
    </w:p>
    <w:p w14:paraId="27166E1D">
      <w:pPr>
        <w:pStyle w:val="11"/>
        <w:numPr>
          <w:ilvl w:val="0"/>
          <w:numId w:val="2"/>
        </w:numPr>
        <w:spacing w:line="360" w:lineRule="auto"/>
        <w:ind w:left="737" w:hanging="737" w:firstLineChars="0"/>
        <w:rPr>
          <w:sz w:val="24"/>
          <w:szCs w:val="24"/>
        </w:rPr>
      </w:pPr>
      <w:r>
        <w:rPr>
          <w:rFonts w:hint="eastAsia"/>
          <w:color w:val="000000"/>
          <w:sz w:val="24"/>
          <w:szCs w:val="24"/>
        </w:rPr>
        <w:t xml:space="preserve"> 本制度适用于公司董事、高级管理人员。</w:t>
      </w:r>
    </w:p>
    <w:p w14:paraId="40E31CBA">
      <w:pPr>
        <w:pStyle w:val="11"/>
        <w:numPr>
          <w:ilvl w:val="0"/>
          <w:numId w:val="2"/>
        </w:numPr>
        <w:spacing w:line="360" w:lineRule="auto"/>
        <w:ind w:firstLineChars="0"/>
        <w:rPr>
          <w:sz w:val="24"/>
          <w:szCs w:val="24"/>
        </w:rPr>
      </w:pPr>
      <w:r>
        <w:rPr>
          <w:rFonts w:hint="eastAsia"/>
          <w:sz w:val="24"/>
          <w:szCs w:val="24"/>
        </w:rPr>
        <w:t xml:space="preserve"> 基本原则</w:t>
      </w:r>
    </w:p>
    <w:p w14:paraId="4549759A">
      <w:pPr>
        <w:pStyle w:val="11"/>
        <w:numPr>
          <w:ilvl w:val="0"/>
          <w:numId w:val="3"/>
        </w:numPr>
        <w:spacing w:line="360" w:lineRule="auto"/>
        <w:ind w:firstLineChars="0"/>
        <w:rPr>
          <w:sz w:val="24"/>
          <w:szCs w:val="24"/>
        </w:rPr>
      </w:pPr>
      <w:r>
        <w:rPr>
          <w:rFonts w:hint="eastAsia"/>
          <w:sz w:val="24"/>
          <w:szCs w:val="24"/>
        </w:rPr>
        <w:t>体现收入水平符合公司规模与业绩的原则，同时与外部薪酬水平相符； </w:t>
      </w:r>
    </w:p>
    <w:p w14:paraId="00DEF2B8">
      <w:pPr>
        <w:pStyle w:val="11"/>
        <w:numPr>
          <w:ilvl w:val="0"/>
          <w:numId w:val="3"/>
        </w:numPr>
        <w:spacing w:line="360" w:lineRule="auto"/>
        <w:ind w:firstLineChars="0"/>
        <w:rPr>
          <w:sz w:val="24"/>
          <w:szCs w:val="24"/>
        </w:rPr>
      </w:pPr>
      <w:r>
        <w:rPr>
          <w:rFonts w:hint="eastAsia"/>
          <w:sz w:val="24"/>
          <w:szCs w:val="24"/>
        </w:rPr>
        <w:t>体现责权利对等的原则，薪酬与岗位价值高低、承担责任大小相符，发挥薪酬的激励与约束功能； </w:t>
      </w:r>
    </w:p>
    <w:p w14:paraId="559C9200">
      <w:pPr>
        <w:pStyle w:val="11"/>
        <w:numPr>
          <w:ilvl w:val="0"/>
          <w:numId w:val="3"/>
        </w:numPr>
        <w:spacing w:line="360" w:lineRule="auto"/>
        <w:ind w:firstLineChars="0"/>
        <w:rPr>
          <w:sz w:val="24"/>
          <w:szCs w:val="24"/>
        </w:rPr>
      </w:pPr>
      <w:r>
        <w:rPr>
          <w:rFonts w:hint="eastAsia"/>
          <w:sz w:val="24"/>
          <w:szCs w:val="24"/>
        </w:rPr>
        <w:t>体现公司长远利益的原则，与公司持续健康发展的目标相符； </w:t>
      </w:r>
    </w:p>
    <w:p w14:paraId="00936ED5">
      <w:pPr>
        <w:pStyle w:val="11"/>
        <w:numPr>
          <w:ilvl w:val="0"/>
          <w:numId w:val="3"/>
        </w:numPr>
        <w:spacing w:line="360" w:lineRule="auto"/>
        <w:ind w:firstLineChars="0"/>
        <w:rPr>
          <w:sz w:val="24"/>
          <w:szCs w:val="24"/>
        </w:rPr>
      </w:pPr>
      <w:r>
        <w:rPr>
          <w:sz w:val="24"/>
          <w:szCs w:val="24"/>
        </w:rPr>
        <w:t>体现激励约束并重原则，薪酬发放与考核、奖惩挂钩，与公司激励机制挂钩</w:t>
      </w:r>
      <w:r>
        <w:rPr>
          <w:rFonts w:hint="eastAsia"/>
          <w:sz w:val="24"/>
          <w:szCs w:val="24"/>
        </w:rPr>
        <w:t>。</w:t>
      </w:r>
    </w:p>
    <w:p w14:paraId="712AC00B">
      <w:pPr>
        <w:pStyle w:val="11"/>
        <w:numPr>
          <w:ilvl w:val="0"/>
          <w:numId w:val="1"/>
        </w:numPr>
        <w:spacing w:line="360" w:lineRule="auto"/>
        <w:ind w:firstLineChars="0"/>
        <w:jc w:val="center"/>
        <w:rPr>
          <w:b/>
          <w:sz w:val="24"/>
          <w:szCs w:val="24"/>
        </w:rPr>
      </w:pPr>
      <w:r>
        <w:rPr>
          <w:rFonts w:hint="eastAsia"/>
          <w:b/>
          <w:sz w:val="24"/>
          <w:szCs w:val="24"/>
        </w:rPr>
        <w:t>管理机构</w:t>
      </w:r>
    </w:p>
    <w:p w14:paraId="73F5D0C2">
      <w:pPr>
        <w:pStyle w:val="11"/>
        <w:numPr>
          <w:ilvl w:val="0"/>
          <w:numId w:val="2"/>
        </w:numPr>
        <w:spacing w:line="360" w:lineRule="auto"/>
        <w:ind w:firstLineChars="0"/>
        <w:rPr>
          <w:sz w:val="24"/>
          <w:szCs w:val="24"/>
        </w:rPr>
      </w:pPr>
      <w:r>
        <w:rPr>
          <w:rFonts w:hint="eastAsia"/>
          <w:sz w:val="24"/>
          <w:szCs w:val="24"/>
        </w:rPr>
        <w:t xml:space="preserve"> 公司股东会负责审议董事的薪酬，公司董事会负责审议高级管理人员的薪酬。</w:t>
      </w:r>
    </w:p>
    <w:p w14:paraId="4CA7046B">
      <w:pPr>
        <w:pStyle w:val="11"/>
        <w:numPr>
          <w:ilvl w:val="0"/>
          <w:numId w:val="2"/>
        </w:numPr>
        <w:spacing w:line="360" w:lineRule="auto"/>
        <w:ind w:firstLineChars="0"/>
        <w:rPr>
          <w:sz w:val="24"/>
          <w:szCs w:val="24"/>
        </w:rPr>
      </w:pPr>
      <w:r>
        <w:rPr>
          <w:rFonts w:hint="eastAsia"/>
          <w:sz w:val="24"/>
          <w:szCs w:val="24"/>
        </w:rPr>
        <w:t xml:space="preserve"> 公司董事会薪酬与考核委员会在董事会的授权下，负责制定公司董事、高级管理人员的薪酬计划与方案；负责审查公司董事、高级管理人员履行职责并对其进行年度考核；负责对公司薪酬制度执行情况进行监督。 </w:t>
      </w:r>
    </w:p>
    <w:p w14:paraId="156027D9">
      <w:pPr>
        <w:pStyle w:val="11"/>
        <w:numPr>
          <w:ilvl w:val="0"/>
          <w:numId w:val="2"/>
        </w:numPr>
        <w:spacing w:line="360" w:lineRule="auto"/>
        <w:ind w:firstLineChars="0"/>
        <w:rPr>
          <w:sz w:val="24"/>
          <w:szCs w:val="24"/>
        </w:rPr>
      </w:pPr>
      <w:r>
        <w:rPr>
          <w:rFonts w:hint="eastAsia"/>
          <w:sz w:val="24"/>
          <w:szCs w:val="24"/>
        </w:rPr>
        <w:t xml:space="preserve"> 公司董事会薪酬与考核委员会下设工作组，由总裁任组长，公司部分中高层管理人员任小组成员。工作组的主要职责：</w:t>
      </w:r>
    </w:p>
    <w:p w14:paraId="7B254D97">
      <w:pPr>
        <w:pStyle w:val="11"/>
        <w:numPr>
          <w:ilvl w:val="0"/>
          <w:numId w:val="4"/>
        </w:numPr>
        <w:spacing w:line="360" w:lineRule="auto"/>
        <w:ind w:firstLineChars="0"/>
        <w:rPr>
          <w:sz w:val="24"/>
          <w:szCs w:val="24"/>
        </w:rPr>
      </w:pPr>
      <w:r>
        <w:rPr>
          <w:rFonts w:hint="eastAsia"/>
          <w:sz w:val="24"/>
          <w:szCs w:val="24"/>
        </w:rPr>
        <w:t>负责筹备薪酬与考核委员会会议并执行其决议；</w:t>
      </w:r>
    </w:p>
    <w:p w14:paraId="3231AFF4">
      <w:pPr>
        <w:pStyle w:val="11"/>
        <w:numPr>
          <w:ilvl w:val="0"/>
          <w:numId w:val="4"/>
        </w:numPr>
        <w:spacing w:line="360" w:lineRule="auto"/>
        <w:ind w:firstLineChars="0"/>
        <w:rPr>
          <w:sz w:val="24"/>
          <w:szCs w:val="24"/>
        </w:rPr>
      </w:pPr>
      <w:r>
        <w:rPr>
          <w:rFonts w:hint="eastAsia"/>
          <w:sz w:val="24"/>
          <w:szCs w:val="24"/>
        </w:rPr>
        <w:t>拟定或修订董事、高级管理人员的薪酬计划与方案报薪酬与考核委员会；</w:t>
      </w:r>
    </w:p>
    <w:p w14:paraId="7514F24C">
      <w:pPr>
        <w:pStyle w:val="11"/>
        <w:numPr>
          <w:ilvl w:val="0"/>
          <w:numId w:val="4"/>
        </w:numPr>
        <w:spacing w:line="360" w:lineRule="auto"/>
        <w:ind w:firstLineChars="0"/>
        <w:rPr>
          <w:sz w:val="24"/>
          <w:szCs w:val="24"/>
        </w:rPr>
      </w:pPr>
      <w:r>
        <w:rPr>
          <w:rFonts w:hint="eastAsia"/>
          <w:sz w:val="24"/>
          <w:szCs w:val="24"/>
        </w:rPr>
        <w:t>向薪酬与考核委员会提供公司有关经营方面的资料及被考评人员的有关资料；</w:t>
      </w:r>
    </w:p>
    <w:p w14:paraId="4FF338BC">
      <w:pPr>
        <w:pStyle w:val="11"/>
        <w:numPr>
          <w:ilvl w:val="0"/>
          <w:numId w:val="4"/>
        </w:numPr>
        <w:spacing w:line="360" w:lineRule="auto"/>
        <w:ind w:firstLineChars="0"/>
        <w:rPr>
          <w:sz w:val="24"/>
          <w:szCs w:val="24"/>
        </w:rPr>
      </w:pPr>
      <w:r>
        <w:rPr>
          <w:rFonts w:hint="eastAsia"/>
          <w:sz w:val="24"/>
          <w:szCs w:val="24"/>
        </w:rPr>
        <w:t>初步提出董事及高级管理人员薪酬标准、绩效考核评价结果报薪酬与考核委员会审议；</w:t>
      </w:r>
    </w:p>
    <w:p w14:paraId="38142169">
      <w:pPr>
        <w:pStyle w:val="11"/>
        <w:numPr>
          <w:ilvl w:val="0"/>
          <w:numId w:val="4"/>
        </w:numPr>
        <w:spacing w:line="360" w:lineRule="auto"/>
        <w:ind w:firstLineChars="0"/>
        <w:rPr>
          <w:sz w:val="24"/>
          <w:szCs w:val="24"/>
        </w:rPr>
      </w:pPr>
      <w:r>
        <w:rPr>
          <w:rFonts w:hint="eastAsia"/>
          <w:sz w:val="24"/>
          <w:szCs w:val="24"/>
        </w:rPr>
        <w:t>负责对董事、高级管理人员以外的员工的考核评价及薪酬标准的确定。</w:t>
      </w:r>
    </w:p>
    <w:p w14:paraId="7770EBAD">
      <w:pPr>
        <w:pStyle w:val="11"/>
        <w:numPr>
          <w:ilvl w:val="0"/>
          <w:numId w:val="2"/>
        </w:numPr>
        <w:spacing w:line="360" w:lineRule="auto"/>
        <w:ind w:firstLineChars="0"/>
        <w:rPr>
          <w:sz w:val="24"/>
          <w:szCs w:val="24"/>
        </w:rPr>
      </w:pPr>
      <w:r>
        <w:rPr>
          <w:rFonts w:hint="eastAsia"/>
          <w:sz w:val="24"/>
          <w:szCs w:val="24"/>
        </w:rPr>
        <w:t xml:space="preserve"> 公司人力资源部根据工作组的要求，拟定公司薪酬管理制度，负责薪酬体系及薪酬管理制度的实施，组织、协调和监督各部门的考核工作。</w:t>
      </w:r>
    </w:p>
    <w:p w14:paraId="4BA5468D">
      <w:pPr>
        <w:pStyle w:val="11"/>
        <w:numPr>
          <w:ilvl w:val="0"/>
          <w:numId w:val="1"/>
        </w:numPr>
        <w:spacing w:line="360" w:lineRule="auto"/>
        <w:ind w:firstLineChars="0"/>
        <w:jc w:val="center"/>
        <w:rPr>
          <w:b/>
          <w:sz w:val="24"/>
          <w:szCs w:val="24"/>
        </w:rPr>
      </w:pPr>
      <w:r>
        <w:rPr>
          <w:rFonts w:hint="eastAsia"/>
          <w:b/>
          <w:sz w:val="24"/>
          <w:szCs w:val="24"/>
        </w:rPr>
        <w:t>薪酬的标准</w:t>
      </w:r>
    </w:p>
    <w:p w14:paraId="546F0D89">
      <w:pPr>
        <w:pStyle w:val="11"/>
        <w:numPr>
          <w:ilvl w:val="0"/>
          <w:numId w:val="2"/>
        </w:numPr>
        <w:spacing w:line="360" w:lineRule="auto"/>
        <w:ind w:firstLineChars="0"/>
        <w:rPr>
          <w:sz w:val="24"/>
          <w:szCs w:val="24"/>
        </w:rPr>
      </w:pPr>
      <w:r>
        <w:rPr>
          <w:rFonts w:hint="eastAsia"/>
          <w:sz w:val="24"/>
          <w:szCs w:val="24"/>
        </w:rPr>
        <w:t xml:space="preserve"> 公司董事实行月度津贴制度。根据公司股东会通过的决议，董事现津贴标准如下：</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EF8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A10BE07">
            <w:pPr>
              <w:spacing w:line="360" w:lineRule="auto"/>
              <w:jc w:val="center"/>
              <w:rPr>
                <w:sz w:val="24"/>
                <w:szCs w:val="24"/>
              </w:rPr>
            </w:pPr>
            <w:r>
              <w:rPr>
                <w:rFonts w:hint="eastAsia"/>
                <w:sz w:val="24"/>
                <w:szCs w:val="24"/>
              </w:rPr>
              <w:t>职务</w:t>
            </w:r>
          </w:p>
        </w:tc>
        <w:tc>
          <w:tcPr>
            <w:tcW w:w="4261" w:type="dxa"/>
          </w:tcPr>
          <w:p w14:paraId="514572A3">
            <w:pPr>
              <w:spacing w:line="360" w:lineRule="auto"/>
              <w:jc w:val="center"/>
              <w:rPr>
                <w:sz w:val="24"/>
                <w:szCs w:val="24"/>
              </w:rPr>
            </w:pPr>
            <w:r>
              <w:rPr>
                <w:rFonts w:hint="eastAsia"/>
                <w:sz w:val="24"/>
                <w:szCs w:val="24"/>
              </w:rPr>
              <w:t>津贴标准（含税）</w:t>
            </w:r>
          </w:p>
        </w:tc>
      </w:tr>
      <w:tr w14:paraId="2D9A4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A3D51A4">
            <w:pPr>
              <w:spacing w:line="360" w:lineRule="auto"/>
              <w:ind w:firstLine="283" w:firstLineChars="118"/>
              <w:rPr>
                <w:sz w:val="24"/>
                <w:szCs w:val="24"/>
              </w:rPr>
            </w:pPr>
            <w:r>
              <w:rPr>
                <w:rFonts w:hint="eastAsia"/>
                <w:sz w:val="24"/>
                <w:szCs w:val="24"/>
              </w:rPr>
              <w:t>董事长、副董事长</w:t>
            </w:r>
          </w:p>
        </w:tc>
        <w:tc>
          <w:tcPr>
            <w:tcW w:w="4261" w:type="dxa"/>
          </w:tcPr>
          <w:p w14:paraId="4275DB9E">
            <w:pPr>
              <w:spacing w:line="360" w:lineRule="auto"/>
              <w:ind w:right="1501" w:rightChars="715"/>
              <w:jc w:val="right"/>
              <w:rPr>
                <w:sz w:val="24"/>
                <w:szCs w:val="24"/>
              </w:rPr>
            </w:pPr>
            <w:r>
              <w:rPr>
                <w:rFonts w:hint="eastAsia"/>
                <w:sz w:val="24"/>
                <w:szCs w:val="24"/>
              </w:rPr>
              <w:t>15000元</w:t>
            </w:r>
          </w:p>
        </w:tc>
      </w:tr>
      <w:tr w14:paraId="7B46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2ED32B4">
            <w:pPr>
              <w:spacing w:line="360" w:lineRule="auto"/>
              <w:ind w:firstLine="283" w:firstLineChars="118"/>
              <w:rPr>
                <w:sz w:val="24"/>
                <w:szCs w:val="24"/>
              </w:rPr>
            </w:pPr>
            <w:r>
              <w:rPr>
                <w:rFonts w:hint="eastAsia"/>
                <w:sz w:val="24"/>
                <w:szCs w:val="24"/>
              </w:rPr>
              <w:t>董事</w:t>
            </w:r>
          </w:p>
        </w:tc>
        <w:tc>
          <w:tcPr>
            <w:tcW w:w="4261" w:type="dxa"/>
          </w:tcPr>
          <w:p w14:paraId="1726EC92">
            <w:pPr>
              <w:spacing w:line="360" w:lineRule="auto"/>
              <w:ind w:right="1501" w:rightChars="715"/>
              <w:jc w:val="right"/>
              <w:rPr>
                <w:sz w:val="24"/>
                <w:szCs w:val="24"/>
              </w:rPr>
            </w:pPr>
            <w:r>
              <w:rPr>
                <w:rFonts w:hint="eastAsia"/>
                <w:sz w:val="24"/>
                <w:szCs w:val="24"/>
              </w:rPr>
              <w:t>12000元</w:t>
            </w:r>
          </w:p>
        </w:tc>
      </w:tr>
    </w:tbl>
    <w:p w14:paraId="36D523D9">
      <w:pPr>
        <w:pStyle w:val="11"/>
        <w:spacing w:line="360" w:lineRule="auto"/>
        <w:ind w:left="735" w:firstLine="0" w:firstLineChars="0"/>
        <w:rPr>
          <w:sz w:val="24"/>
          <w:szCs w:val="24"/>
        </w:rPr>
      </w:pPr>
      <w:r>
        <w:rPr>
          <w:rFonts w:hint="eastAsia"/>
          <w:sz w:val="24"/>
          <w:szCs w:val="24"/>
        </w:rPr>
        <w:t>此外，根据公司股东会通过的决议，公司可向服务于董事会的相关工作人员给予适当津贴。</w:t>
      </w:r>
    </w:p>
    <w:p w14:paraId="62914BB3">
      <w:pPr>
        <w:pStyle w:val="11"/>
        <w:numPr>
          <w:ilvl w:val="0"/>
          <w:numId w:val="2"/>
        </w:numPr>
        <w:spacing w:line="360" w:lineRule="auto"/>
        <w:ind w:firstLineChars="0"/>
        <w:rPr>
          <w:sz w:val="24"/>
          <w:szCs w:val="24"/>
        </w:rPr>
      </w:pPr>
      <w:r>
        <w:rPr>
          <w:rFonts w:hint="eastAsia"/>
          <w:sz w:val="24"/>
          <w:szCs w:val="24"/>
        </w:rPr>
        <w:t xml:space="preserve"> 主要精力为参与公司经营管理工作，且不在其他单位担任管理职务及领取薪酬，与公司签订劳动合同的</w:t>
      </w:r>
      <w:r>
        <w:rPr>
          <w:sz w:val="24"/>
          <w:szCs w:val="24"/>
        </w:rPr>
        <w:t>董事</w:t>
      </w:r>
      <w:r>
        <w:rPr>
          <w:rFonts w:hint="eastAsia"/>
          <w:sz w:val="24"/>
          <w:szCs w:val="24"/>
        </w:rPr>
        <w:t>（以下简称“内部董事”），公司高级管理人员，按照公司</w:t>
      </w:r>
      <w:r>
        <w:rPr>
          <w:rFonts w:hAnsi="宋体"/>
          <w:sz w:val="24"/>
          <w:szCs w:val="24"/>
        </w:rPr>
        <w:t>工资管理和等级标准的规定</w:t>
      </w:r>
      <w:r>
        <w:rPr>
          <w:rFonts w:hint="eastAsia" w:hAnsi="宋体"/>
          <w:sz w:val="24"/>
          <w:szCs w:val="24"/>
        </w:rPr>
        <w:t>，根据</w:t>
      </w:r>
      <w:r>
        <w:rPr>
          <w:rFonts w:hint="eastAsia"/>
          <w:sz w:val="24"/>
          <w:szCs w:val="24"/>
        </w:rPr>
        <w:t>职务等级与岗位责任确定薪酬。 </w:t>
      </w:r>
    </w:p>
    <w:p w14:paraId="32F769A9">
      <w:pPr>
        <w:pStyle w:val="11"/>
        <w:spacing w:line="360" w:lineRule="auto"/>
        <w:ind w:left="735" w:firstLine="0" w:firstLineChars="0"/>
        <w:rPr>
          <w:sz w:val="24"/>
          <w:szCs w:val="24"/>
        </w:rPr>
      </w:pPr>
      <w:r>
        <w:rPr>
          <w:rFonts w:hint="eastAsia"/>
          <w:sz w:val="24"/>
        </w:rPr>
        <w:t>董事长年薪总额不超过总裁年薪总额的1.1倍。其他内部董事对应所担任的管理职务领取薪酬。</w:t>
      </w:r>
    </w:p>
    <w:p w14:paraId="7974268F">
      <w:pPr>
        <w:pStyle w:val="11"/>
        <w:numPr>
          <w:ilvl w:val="0"/>
          <w:numId w:val="2"/>
        </w:numPr>
        <w:spacing w:line="360" w:lineRule="auto"/>
        <w:ind w:firstLineChars="0"/>
        <w:rPr>
          <w:sz w:val="24"/>
          <w:szCs w:val="24"/>
        </w:rPr>
      </w:pPr>
      <w:r>
        <w:rPr>
          <w:rFonts w:hint="eastAsia"/>
          <w:sz w:val="24"/>
          <w:szCs w:val="24"/>
        </w:rPr>
        <w:t xml:space="preserve"> 第九条所述内部董事、高级管理人员的薪酬由</w:t>
      </w:r>
      <w:r>
        <w:rPr>
          <w:sz w:val="24"/>
          <w:szCs w:val="24"/>
        </w:rPr>
        <w:t>基本薪酬</w:t>
      </w:r>
      <w:r>
        <w:rPr>
          <w:rFonts w:hint="eastAsia"/>
          <w:sz w:val="24"/>
          <w:szCs w:val="24"/>
        </w:rPr>
        <w:t>、绩效薪酬</w:t>
      </w:r>
      <w:r>
        <w:rPr>
          <w:sz w:val="24"/>
          <w:szCs w:val="24"/>
        </w:rPr>
        <w:t>和中长期激励收入</w:t>
      </w:r>
      <w:r>
        <w:rPr>
          <w:rFonts w:hint="eastAsia"/>
          <w:sz w:val="24"/>
          <w:szCs w:val="24"/>
        </w:rPr>
        <w:t>组成，即薪点式岗位工资+固定津贴+风险收入+绩效薪酬+</w:t>
      </w:r>
      <w:r>
        <w:rPr>
          <w:sz w:val="24"/>
          <w:szCs w:val="24"/>
        </w:rPr>
        <w:t>中长期激励收入</w:t>
      </w:r>
      <w:r>
        <w:rPr>
          <w:rFonts w:hint="eastAsia"/>
          <w:sz w:val="24"/>
          <w:szCs w:val="24"/>
        </w:rPr>
        <w:t>。</w:t>
      </w:r>
      <w:r>
        <w:rPr>
          <w:sz w:val="24"/>
          <w:szCs w:val="24"/>
        </w:rPr>
        <w:br w:type="textWrapping"/>
      </w:r>
      <w:r>
        <w:rPr>
          <w:sz w:val="24"/>
          <w:szCs w:val="24"/>
        </w:rPr>
        <w:t>其中绩效薪酬占比原则上不低于基本薪酬与绩效薪酬总额的百分之五十。</w:t>
      </w:r>
    </w:p>
    <w:p w14:paraId="7D1070CB">
      <w:pPr>
        <w:pStyle w:val="11"/>
        <w:spacing w:line="360" w:lineRule="auto"/>
        <w:ind w:left="735" w:firstLine="0" w:firstLineChars="0"/>
        <w:rPr>
          <w:sz w:val="24"/>
          <w:szCs w:val="24"/>
        </w:rPr>
      </w:pPr>
      <w:r>
        <w:rPr>
          <w:rFonts w:hint="eastAsia"/>
          <w:sz w:val="24"/>
          <w:szCs w:val="24"/>
        </w:rPr>
        <w:t>内部董事、高级管理人员的薪酬不高于员工平均薪酬的10倍。</w:t>
      </w:r>
    </w:p>
    <w:p w14:paraId="537159AC">
      <w:pPr>
        <w:pStyle w:val="11"/>
        <w:numPr>
          <w:ilvl w:val="0"/>
          <w:numId w:val="2"/>
        </w:numPr>
        <w:spacing w:line="360" w:lineRule="auto"/>
        <w:ind w:firstLineChars="0"/>
        <w:rPr>
          <w:sz w:val="24"/>
          <w:szCs w:val="24"/>
        </w:rPr>
      </w:pPr>
      <w:r>
        <w:rPr>
          <w:rFonts w:hint="eastAsia"/>
          <w:sz w:val="24"/>
          <w:szCs w:val="24"/>
        </w:rPr>
        <w:t>薪点式岗位工资：</w:t>
      </w:r>
    </w:p>
    <w:p w14:paraId="4E5BECC1">
      <w:pPr>
        <w:pStyle w:val="11"/>
        <w:numPr>
          <w:ilvl w:val="0"/>
          <w:numId w:val="5"/>
        </w:numPr>
        <w:spacing w:line="360" w:lineRule="auto"/>
        <w:ind w:firstLineChars="0"/>
        <w:rPr>
          <w:sz w:val="24"/>
          <w:szCs w:val="24"/>
        </w:rPr>
      </w:pPr>
      <w:r>
        <w:rPr>
          <w:rFonts w:hint="eastAsia"/>
          <w:sz w:val="24"/>
          <w:szCs w:val="24"/>
        </w:rPr>
        <w:t>岗位薪点：依据各工作岗位的难易程度、所需技术水平高低、责任大小确定。</w:t>
      </w:r>
    </w:p>
    <w:p w14:paraId="03FE6BEE">
      <w:pPr>
        <w:pStyle w:val="11"/>
        <w:numPr>
          <w:ilvl w:val="0"/>
          <w:numId w:val="5"/>
        </w:numPr>
        <w:spacing w:line="360" w:lineRule="auto"/>
        <w:ind w:firstLineChars="0"/>
        <w:rPr>
          <w:sz w:val="24"/>
          <w:szCs w:val="24"/>
        </w:rPr>
      </w:pPr>
      <w:r>
        <w:rPr>
          <w:rFonts w:hint="eastAsia"/>
          <w:sz w:val="24"/>
          <w:szCs w:val="24"/>
        </w:rPr>
        <w:t>薪点值：依据市场价格因素、企业经济效益和工资支付能力、通货膨胀等因素确定。</w:t>
      </w:r>
    </w:p>
    <w:p w14:paraId="68EFDAC4">
      <w:pPr>
        <w:pStyle w:val="11"/>
        <w:numPr>
          <w:ilvl w:val="0"/>
          <w:numId w:val="5"/>
        </w:numPr>
        <w:spacing w:line="360" w:lineRule="auto"/>
        <w:ind w:firstLineChars="0"/>
        <w:rPr>
          <w:sz w:val="24"/>
          <w:szCs w:val="24"/>
        </w:rPr>
      </w:pPr>
      <w:r>
        <w:rPr>
          <w:rFonts w:hint="eastAsia"/>
          <w:sz w:val="24"/>
          <w:szCs w:val="24"/>
        </w:rPr>
        <w:t>薪点式岗位工资 = 薪点值 × 岗位薪点数</w:t>
      </w:r>
    </w:p>
    <w:p w14:paraId="09137F2E">
      <w:pPr>
        <w:pStyle w:val="11"/>
        <w:numPr>
          <w:ilvl w:val="0"/>
          <w:numId w:val="2"/>
        </w:numPr>
        <w:spacing w:line="360" w:lineRule="auto"/>
        <w:ind w:firstLineChars="0"/>
        <w:rPr>
          <w:sz w:val="24"/>
          <w:szCs w:val="24"/>
        </w:rPr>
      </w:pPr>
      <w:r>
        <w:rPr>
          <w:rFonts w:hint="eastAsia"/>
          <w:sz w:val="24"/>
          <w:szCs w:val="24"/>
        </w:rPr>
        <w:t>风险收入：</w:t>
      </w:r>
      <w:r>
        <w:rPr>
          <w:rFonts w:hint="eastAsia"/>
          <w:sz w:val="24"/>
        </w:rPr>
        <w:t>根据</w:t>
      </w:r>
      <w:r>
        <w:rPr>
          <w:rFonts w:hint="eastAsia"/>
          <w:sz w:val="24"/>
          <w:szCs w:val="24"/>
        </w:rPr>
        <w:t>所任岗位的职责、重要性</w:t>
      </w:r>
      <w:r>
        <w:rPr>
          <w:rFonts w:hint="eastAsia"/>
          <w:sz w:val="24"/>
        </w:rPr>
        <w:t>确定风险收入的金额，每年依据《考核管理》，按考核结果计算得出实际所得。</w:t>
      </w:r>
    </w:p>
    <w:p w14:paraId="4806CFA5">
      <w:pPr>
        <w:pStyle w:val="11"/>
        <w:numPr>
          <w:ilvl w:val="0"/>
          <w:numId w:val="2"/>
        </w:numPr>
        <w:spacing w:line="360" w:lineRule="auto"/>
        <w:ind w:firstLineChars="0"/>
        <w:rPr>
          <w:sz w:val="24"/>
          <w:szCs w:val="24"/>
        </w:rPr>
      </w:pPr>
      <w:r>
        <w:rPr>
          <w:rFonts w:hint="eastAsia"/>
          <w:sz w:val="24"/>
          <w:szCs w:val="24"/>
        </w:rPr>
        <w:t>绩效薪酬：年终时根据年初制定的KPI表对</w:t>
      </w:r>
      <w:r>
        <w:rPr>
          <w:rFonts w:hint="eastAsia"/>
          <w:sz w:val="24"/>
        </w:rPr>
        <w:t>高级管理人员</w:t>
      </w:r>
      <w:r>
        <w:rPr>
          <w:rFonts w:hint="eastAsia"/>
          <w:sz w:val="24"/>
          <w:szCs w:val="24"/>
        </w:rPr>
        <w:t>考核，根据当年考核结果支付。</w:t>
      </w:r>
    </w:p>
    <w:p w14:paraId="32F9C2C9">
      <w:pPr>
        <w:pStyle w:val="11"/>
        <w:numPr>
          <w:ilvl w:val="0"/>
          <w:numId w:val="2"/>
        </w:numPr>
        <w:spacing w:line="360" w:lineRule="auto"/>
        <w:ind w:firstLineChars="0"/>
        <w:rPr>
          <w:sz w:val="24"/>
          <w:szCs w:val="24"/>
        </w:rPr>
      </w:pPr>
      <w:r>
        <w:rPr>
          <w:rFonts w:hint="eastAsia"/>
          <w:sz w:val="24"/>
          <w:szCs w:val="24"/>
        </w:rPr>
        <w:t>固定津贴：相对固定的、经常性的收入，包括工龄津贴、工作餐津贴和岗位津贴。</w:t>
      </w:r>
    </w:p>
    <w:p w14:paraId="6938849A">
      <w:pPr>
        <w:pStyle w:val="11"/>
        <w:numPr>
          <w:ilvl w:val="0"/>
          <w:numId w:val="2"/>
        </w:numPr>
        <w:spacing w:line="360" w:lineRule="auto"/>
        <w:ind w:firstLineChars="0"/>
        <w:rPr>
          <w:sz w:val="24"/>
          <w:szCs w:val="24"/>
        </w:rPr>
      </w:pPr>
      <w:r>
        <w:rPr>
          <w:sz w:val="24"/>
          <w:szCs w:val="24"/>
        </w:rPr>
        <w:t>中长期激励收入是与中长期考核评价结果相联系的收入，包括但不限于股权、期权、员工持股计划等。具体方案由公司另行制定。</w:t>
      </w:r>
    </w:p>
    <w:p w14:paraId="3D4D6911">
      <w:pPr>
        <w:pStyle w:val="11"/>
        <w:numPr>
          <w:ilvl w:val="0"/>
          <w:numId w:val="2"/>
        </w:numPr>
        <w:spacing w:line="360" w:lineRule="auto"/>
        <w:ind w:firstLineChars="0"/>
        <w:rPr>
          <w:sz w:val="24"/>
          <w:szCs w:val="24"/>
        </w:rPr>
      </w:pPr>
      <w:r>
        <w:rPr>
          <w:sz w:val="24"/>
          <w:szCs w:val="24"/>
        </w:rPr>
        <w:t>公司较上一会计年度由盈利转为亏损或者亏损扩大，董事</w:t>
      </w:r>
      <w:r>
        <w:rPr>
          <w:rFonts w:hint="eastAsia"/>
          <w:sz w:val="24"/>
          <w:szCs w:val="24"/>
        </w:rPr>
        <w:t>、高级管理人员平均绩效薪酬未相应下降的，应当披露原因。</w:t>
      </w:r>
    </w:p>
    <w:p w14:paraId="05230F77">
      <w:pPr>
        <w:pStyle w:val="11"/>
        <w:numPr>
          <w:ilvl w:val="0"/>
          <w:numId w:val="1"/>
        </w:numPr>
        <w:spacing w:line="360" w:lineRule="auto"/>
        <w:ind w:firstLineChars="0"/>
        <w:jc w:val="center"/>
        <w:rPr>
          <w:b/>
          <w:sz w:val="24"/>
          <w:szCs w:val="24"/>
        </w:rPr>
      </w:pPr>
      <w:r>
        <w:rPr>
          <w:rFonts w:hint="eastAsia"/>
          <w:b/>
          <w:sz w:val="24"/>
          <w:szCs w:val="24"/>
        </w:rPr>
        <w:t>薪酬的发放</w:t>
      </w:r>
    </w:p>
    <w:p w14:paraId="1957686D">
      <w:pPr>
        <w:pStyle w:val="11"/>
        <w:numPr>
          <w:ilvl w:val="0"/>
          <w:numId w:val="2"/>
        </w:numPr>
        <w:spacing w:line="360" w:lineRule="auto"/>
        <w:ind w:firstLineChars="0"/>
        <w:rPr>
          <w:sz w:val="24"/>
          <w:szCs w:val="24"/>
        </w:rPr>
      </w:pPr>
      <w:r>
        <w:rPr>
          <w:rFonts w:hint="eastAsia"/>
          <w:sz w:val="24"/>
          <w:szCs w:val="24"/>
        </w:rPr>
        <w:t>董事的津贴按月发放；</w:t>
      </w:r>
    </w:p>
    <w:p w14:paraId="4968B198">
      <w:pPr>
        <w:pStyle w:val="11"/>
        <w:numPr>
          <w:ilvl w:val="0"/>
          <w:numId w:val="2"/>
        </w:numPr>
        <w:spacing w:line="360" w:lineRule="auto"/>
        <w:ind w:firstLineChars="0"/>
        <w:rPr>
          <w:sz w:val="24"/>
          <w:szCs w:val="24"/>
        </w:rPr>
      </w:pPr>
      <w:r>
        <w:rPr>
          <w:rFonts w:hint="eastAsia"/>
          <w:sz w:val="24"/>
        </w:rPr>
        <w:t>内部董事、高级管理人员</w:t>
      </w:r>
      <w:r>
        <w:rPr>
          <w:rFonts w:hint="eastAsia"/>
          <w:sz w:val="24"/>
          <w:szCs w:val="24"/>
        </w:rPr>
        <w:t>的年薪工资按月发放；绩效薪酬在会计年度结束后，根据考核结果按年发放；</w:t>
      </w:r>
    </w:p>
    <w:p w14:paraId="39C7F969">
      <w:pPr>
        <w:pStyle w:val="11"/>
        <w:numPr>
          <w:ilvl w:val="0"/>
          <w:numId w:val="2"/>
        </w:numPr>
        <w:spacing w:line="360" w:lineRule="auto"/>
        <w:ind w:firstLineChars="0"/>
        <w:rPr>
          <w:sz w:val="24"/>
          <w:szCs w:val="24"/>
        </w:rPr>
      </w:pPr>
      <w:r>
        <w:rPr>
          <w:rFonts w:hint="eastAsia"/>
          <w:sz w:val="24"/>
          <w:szCs w:val="24"/>
        </w:rPr>
        <w:t>应缴扣除</w:t>
      </w:r>
    </w:p>
    <w:p w14:paraId="2D1360B1">
      <w:pPr>
        <w:spacing w:line="360" w:lineRule="auto"/>
        <w:ind w:firstLine="480" w:firstLineChars="200"/>
        <w:rPr>
          <w:sz w:val="24"/>
          <w:szCs w:val="24"/>
        </w:rPr>
      </w:pPr>
      <w:r>
        <w:rPr>
          <w:rFonts w:hint="eastAsia"/>
          <w:sz w:val="24"/>
          <w:szCs w:val="24"/>
        </w:rPr>
        <w:t>公司发放的薪酬，在支付给个人前一律应作如下统一扣除：</w:t>
      </w:r>
    </w:p>
    <w:p w14:paraId="51B98317">
      <w:pPr>
        <w:pStyle w:val="11"/>
        <w:numPr>
          <w:ilvl w:val="0"/>
          <w:numId w:val="6"/>
        </w:numPr>
        <w:spacing w:line="360" w:lineRule="auto"/>
        <w:ind w:firstLineChars="0"/>
        <w:rPr>
          <w:sz w:val="24"/>
          <w:szCs w:val="24"/>
        </w:rPr>
      </w:pPr>
      <w:r>
        <w:rPr>
          <w:rFonts w:hint="eastAsia"/>
          <w:sz w:val="24"/>
          <w:szCs w:val="24"/>
        </w:rPr>
        <w:t>社会保险、公积金中个人的应缴款；</w:t>
      </w:r>
    </w:p>
    <w:p w14:paraId="1884DCFA">
      <w:pPr>
        <w:pStyle w:val="11"/>
        <w:numPr>
          <w:ilvl w:val="0"/>
          <w:numId w:val="6"/>
        </w:numPr>
        <w:spacing w:line="360" w:lineRule="auto"/>
        <w:ind w:firstLineChars="0"/>
        <w:rPr>
          <w:sz w:val="24"/>
          <w:szCs w:val="24"/>
        </w:rPr>
      </w:pPr>
      <w:r>
        <w:rPr>
          <w:rFonts w:hint="eastAsia"/>
          <w:sz w:val="24"/>
          <w:szCs w:val="24"/>
        </w:rPr>
        <w:t>依据国家法律扣除个人所得税的应缴税款；</w:t>
      </w:r>
    </w:p>
    <w:p w14:paraId="709DF823">
      <w:pPr>
        <w:pStyle w:val="11"/>
        <w:numPr>
          <w:ilvl w:val="0"/>
          <w:numId w:val="6"/>
        </w:numPr>
        <w:spacing w:line="360" w:lineRule="auto"/>
        <w:ind w:firstLineChars="0"/>
        <w:rPr>
          <w:sz w:val="24"/>
          <w:szCs w:val="24"/>
        </w:rPr>
      </w:pPr>
      <w:r>
        <w:rPr>
          <w:rFonts w:hint="eastAsia"/>
          <w:sz w:val="24"/>
          <w:szCs w:val="24"/>
        </w:rPr>
        <w:t>依据劳动合同和公司有关规定扣除个人的应缴款。</w:t>
      </w:r>
    </w:p>
    <w:p w14:paraId="67ADD9E9">
      <w:pPr>
        <w:pStyle w:val="11"/>
        <w:numPr>
          <w:ilvl w:val="0"/>
          <w:numId w:val="2"/>
        </w:numPr>
        <w:spacing w:line="360" w:lineRule="auto"/>
        <w:ind w:firstLineChars="0"/>
        <w:rPr>
          <w:sz w:val="24"/>
          <w:szCs w:val="24"/>
        </w:rPr>
      </w:pPr>
      <w:r>
        <w:rPr>
          <w:sz w:val="24"/>
          <w:szCs w:val="24"/>
        </w:rPr>
        <w:t>公司董事（包含独立董事）及高级管理人员在任职期间，发生下列任一情形，公司有权取消其绩效奖金或津贴的发放：</w:t>
      </w:r>
    </w:p>
    <w:p w14:paraId="08D38EA4">
      <w:pPr>
        <w:pStyle w:val="11"/>
        <w:numPr>
          <w:ilvl w:val="0"/>
          <w:numId w:val="7"/>
        </w:numPr>
        <w:spacing w:line="360" w:lineRule="auto"/>
        <w:ind w:firstLineChars="0"/>
        <w:rPr>
          <w:sz w:val="24"/>
          <w:szCs w:val="24"/>
        </w:rPr>
      </w:pPr>
      <w:r>
        <w:rPr>
          <w:sz w:val="24"/>
          <w:szCs w:val="24"/>
        </w:rPr>
        <w:t>被深圳证券交易所公开谴责或宣布为不适当人选的；</w:t>
      </w:r>
    </w:p>
    <w:p w14:paraId="249EC1D5">
      <w:pPr>
        <w:pStyle w:val="11"/>
        <w:numPr>
          <w:ilvl w:val="0"/>
          <w:numId w:val="7"/>
        </w:numPr>
        <w:spacing w:line="360" w:lineRule="auto"/>
        <w:ind w:firstLineChars="0"/>
        <w:rPr>
          <w:sz w:val="24"/>
          <w:szCs w:val="24"/>
        </w:rPr>
      </w:pPr>
      <w:r>
        <w:rPr>
          <w:sz w:val="24"/>
          <w:szCs w:val="24"/>
        </w:rPr>
        <w:t>因重大违法违规行为被中国证券监督管理委员会予以行政处罚的；</w:t>
      </w:r>
    </w:p>
    <w:p w14:paraId="63362B08">
      <w:pPr>
        <w:pStyle w:val="11"/>
        <w:numPr>
          <w:ilvl w:val="0"/>
          <w:numId w:val="7"/>
        </w:numPr>
        <w:spacing w:line="360" w:lineRule="auto"/>
        <w:ind w:firstLineChars="0"/>
        <w:rPr>
          <w:sz w:val="24"/>
          <w:szCs w:val="24"/>
        </w:rPr>
      </w:pPr>
      <w:r>
        <w:rPr>
          <w:sz w:val="24"/>
          <w:szCs w:val="24"/>
        </w:rPr>
        <w:t>严重损害公司利益的；</w:t>
      </w:r>
    </w:p>
    <w:p w14:paraId="7ADC8EA8">
      <w:pPr>
        <w:pStyle w:val="11"/>
        <w:numPr>
          <w:ilvl w:val="0"/>
          <w:numId w:val="7"/>
        </w:numPr>
        <w:spacing w:line="360" w:lineRule="auto"/>
        <w:ind w:firstLineChars="0"/>
        <w:rPr>
          <w:sz w:val="24"/>
          <w:szCs w:val="24"/>
        </w:rPr>
      </w:pPr>
      <w:r>
        <w:rPr>
          <w:sz w:val="24"/>
          <w:szCs w:val="24"/>
        </w:rPr>
        <w:t>公司董事会认定严重违反公司有关规定的其他情形；</w:t>
      </w:r>
    </w:p>
    <w:p w14:paraId="214C93CB">
      <w:pPr>
        <w:pStyle w:val="11"/>
        <w:numPr>
          <w:ilvl w:val="0"/>
          <w:numId w:val="7"/>
        </w:numPr>
        <w:spacing w:line="360" w:lineRule="auto"/>
        <w:ind w:firstLineChars="0"/>
        <w:rPr>
          <w:sz w:val="24"/>
          <w:szCs w:val="24"/>
        </w:rPr>
      </w:pPr>
      <w:r>
        <w:rPr>
          <w:sz w:val="24"/>
          <w:szCs w:val="24"/>
        </w:rPr>
        <w:t>董事、高级管理人员在任期内未经批准擅自离职，或因违反法律、法规、规章、与公司签署的劳动合同、保密协议、竞业限制协议等协议、严重损害公司利益等原因被解除职务。</w:t>
      </w:r>
    </w:p>
    <w:p w14:paraId="5E657A6E">
      <w:pPr>
        <w:pStyle w:val="11"/>
        <w:numPr>
          <w:ilvl w:val="0"/>
          <w:numId w:val="1"/>
        </w:numPr>
        <w:spacing w:line="360" w:lineRule="auto"/>
        <w:ind w:firstLineChars="0"/>
        <w:jc w:val="center"/>
        <w:rPr>
          <w:b/>
          <w:sz w:val="24"/>
          <w:szCs w:val="24"/>
        </w:rPr>
      </w:pPr>
      <w:r>
        <w:rPr>
          <w:rFonts w:hint="eastAsia"/>
          <w:b/>
          <w:sz w:val="24"/>
          <w:szCs w:val="24"/>
        </w:rPr>
        <w:t>薪酬追索扣回</w:t>
      </w:r>
    </w:p>
    <w:p w14:paraId="55EAD579">
      <w:pPr>
        <w:pStyle w:val="11"/>
        <w:numPr>
          <w:ilvl w:val="0"/>
          <w:numId w:val="2"/>
        </w:numPr>
        <w:spacing w:line="360" w:lineRule="auto"/>
        <w:ind w:firstLineChars="0"/>
        <w:rPr>
          <w:sz w:val="24"/>
          <w:szCs w:val="24"/>
        </w:rPr>
      </w:pPr>
      <w:r>
        <w:rPr>
          <w:rFonts w:hint="eastAsia"/>
          <w:sz w:val="24"/>
          <w:szCs w:val="24"/>
        </w:rPr>
        <w:t xml:space="preserve"> 公司董事会薪酬与考核委员会在董事会授权下，评估是否需要针对特定董事、高级管理人员发起绩效薪酬和中长期激励收入的追索扣回程序。</w:t>
      </w:r>
    </w:p>
    <w:p w14:paraId="427AF8C4">
      <w:pPr>
        <w:pStyle w:val="11"/>
        <w:numPr>
          <w:ilvl w:val="0"/>
          <w:numId w:val="2"/>
        </w:numPr>
        <w:spacing w:line="360" w:lineRule="auto"/>
        <w:ind w:firstLineChars="0"/>
        <w:rPr>
          <w:sz w:val="24"/>
          <w:szCs w:val="24"/>
        </w:rPr>
      </w:pPr>
      <w:r>
        <w:rPr>
          <w:rFonts w:hint="eastAsia"/>
          <w:sz w:val="24"/>
          <w:szCs w:val="24"/>
        </w:rPr>
        <w:t xml:space="preserve"> 公司因财务造假等错报对财务报告进行追溯重述时，应及时对董事、高级管理人员绩效薪酬和中长期激励收入予以重新考核并相应追回超额发放部分。</w:t>
      </w:r>
    </w:p>
    <w:p w14:paraId="3096B773">
      <w:pPr>
        <w:pStyle w:val="11"/>
        <w:numPr>
          <w:ilvl w:val="0"/>
          <w:numId w:val="2"/>
        </w:numPr>
        <w:spacing w:line="360" w:lineRule="auto"/>
        <w:ind w:firstLineChars="0"/>
        <w:rPr>
          <w:sz w:val="24"/>
          <w:szCs w:val="24"/>
        </w:rPr>
      </w:pPr>
      <w:r>
        <w:rPr>
          <w:rFonts w:hint="eastAsia"/>
          <w:sz w:val="24"/>
          <w:szCs w:val="24"/>
        </w:rPr>
        <w:t xml:space="preserve"> 公司董事、高级管理人员违反义务给公司造成损失，或者对财务造假、资金占用、违规担保等违法违规行为负有过错的，公司应当根据情节轻重减少、停止支付未支付的绩效薪酬和中长期激励收入，并对相关行为发生期间已经支付的绩效薪酬和中长期激励收入进行全额或部分追回。</w:t>
      </w:r>
    </w:p>
    <w:p w14:paraId="4256987F">
      <w:pPr>
        <w:pStyle w:val="11"/>
        <w:numPr>
          <w:ilvl w:val="0"/>
          <w:numId w:val="1"/>
        </w:numPr>
        <w:spacing w:line="360" w:lineRule="auto"/>
        <w:ind w:firstLineChars="0"/>
        <w:jc w:val="center"/>
        <w:rPr>
          <w:b/>
          <w:sz w:val="24"/>
          <w:szCs w:val="24"/>
        </w:rPr>
      </w:pPr>
      <w:r>
        <w:rPr>
          <w:rFonts w:hint="eastAsia"/>
          <w:b/>
          <w:sz w:val="24"/>
          <w:szCs w:val="24"/>
        </w:rPr>
        <w:t>薪酬的调整</w:t>
      </w:r>
    </w:p>
    <w:p w14:paraId="76316362">
      <w:pPr>
        <w:pStyle w:val="11"/>
        <w:numPr>
          <w:ilvl w:val="0"/>
          <w:numId w:val="2"/>
        </w:numPr>
        <w:spacing w:line="360" w:lineRule="auto"/>
        <w:ind w:firstLineChars="0"/>
        <w:rPr>
          <w:sz w:val="24"/>
          <w:szCs w:val="24"/>
        </w:rPr>
      </w:pPr>
      <w:r>
        <w:rPr>
          <w:rFonts w:hint="eastAsia"/>
          <w:sz w:val="24"/>
          <w:szCs w:val="24"/>
        </w:rPr>
        <w:t>薪酬体系是为公司经营战略服务的，公司可根据经营效益情况、市场薪酬水平变动情况以及公司的经营发展战略等，不定期地调整薪酬标准以适应公司发展需要。</w:t>
      </w:r>
    </w:p>
    <w:p w14:paraId="5B676154">
      <w:pPr>
        <w:pStyle w:val="11"/>
        <w:numPr>
          <w:ilvl w:val="0"/>
          <w:numId w:val="2"/>
        </w:numPr>
        <w:spacing w:line="360" w:lineRule="auto"/>
        <w:ind w:firstLineChars="0"/>
        <w:rPr>
          <w:sz w:val="24"/>
          <w:szCs w:val="24"/>
        </w:rPr>
      </w:pPr>
      <w:r>
        <w:rPr>
          <w:sz w:val="24"/>
          <w:szCs w:val="24"/>
        </w:rPr>
        <w:t>薪酬调整分为整体调整和个别调整：</w:t>
      </w:r>
    </w:p>
    <w:p w14:paraId="1301616E">
      <w:pPr>
        <w:spacing w:line="360" w:lineRule="auto"/>
        <w:ind w:firstLine="480" w:firstLineChars="200"/>
        <w:rPr>
          <w:sz w:val="24"/>
          <w:szCs w:val="24"/>
        </w:rPr>
      </w:pPr>
      <w:r>
        <w:rPr>
          <w:sz w:val="24"/>
          <w:szCs w:val="24"/>
        </w:rPr>
        <w:t>整体调整</w:t>
      </w:r>
      <w:r>
        <w:rPr>
          <w:rFonts w:hint="eastAsia"/>
          <w:sz w:val="24"/>
          <w:szCs w:val="24"/>
        </w:rPr>
        <w:t>依据公司盈利状况、同行业薪资水平、通胀水平、组织结构等。</w:t>
      </w:r>
    </w:p>
    <w:p w14:paraId="00121671">
      <w:pPr>
        <w:spacing w:line="360" w:lineRule="auto"/>
        <w:ind w:firstLine="480" w:firstLineChars="200"/>
        <w:rPr>
          <w:sz w:val="24"/>
          <w:szCs w:val="24"/>
        </w:rPr>
      </w:pPr>
      <w:r>
        <w:rPr>
          <w:sz w:val="24"/>
          <w:szCs w:val="24"/>
        </w:rPr>
        <w:t>个别调整主要</w:t>
      </w:r>
      <w:r>
        <w:rPr>
          <w:rFonts w:hint="eastAsia"/>
          <w:sz w:val="24"/>
          <w:szCs w:val="24"/>
        </w:rPr>
        <w:t>根据个人年度考核结果和岗位变动决定。</w:t>
      </w:r>
    </w:p>
    <w:p w14:paraId="6196818D">
      <w:pPr>
        <w:pStyle w:val="11"/>
        <w:numPr>
          <w:ilvl w:val="0"/>
          <w:numId w:val="2"/>
        </w:numPr>
        <w:spacing w:line="360" w:lineRule="auto"/>
        <w:ind w:firstLineChars="0"/>
        <w:rPr>
          <w:sz w:val="24"/>
          <w:szCs w:val="24"/>
        </w:rPr>
      </w:pPr>
      <w:r>
        <w:rPr>
          <w:rFonts w:hint="eastAsia"/>
          <w:sz w:val="24"/>
          <w:szCs w:val="24"/>
        </w:rPr>
        <w:t>公司董事的薪酬调整报股东会批准，公司高级管理人员的薪酬调整报公司董事会批准。</w:t>
      </w:r>
    </w:p>
    <w:p w14:paraId="3BB90FBB">
      <w:pPr>
        <w:pStyle w:val="11"/>
        <w:numPr>
          <w:ilvl w:val="0"/>
          <w:numId w:val="1"/>
        </w:numPr>
        <w:spacing w:line="360" w:lineRule="auto"/>
        <w:ind w:firstLineChars="0"/>
        <w:jc w:val="center"/>
        <w:rPr>
          <w:b/>
          <w:sz w:val="24"/>
          <w:szCs w:val="24"/>
        </w:rPr>
      </w:pPr>
      <w:r>
        <w:rPr>
          <w:rFonts w:hint="eastAsia"/>
          <w:b/>
          <w:sz w:val="24"/>
          <w:szCs w:val="24"/>
        </w:rPr>
        <w:t>附 则</w:t>
      </w:r>
    </w:p>
    <w:p w14:paraId="5F5A4F48">
      <w:pPr>
        <w:pStyle w:val="11"/>
        <w:numPr>
          <w:ilvl w:val="0"/>
          <w:numId w:val="2"/>
        </w:numPr>
        <w:spacing w:line="360" w:lineRule="auto"/>
        <w:ind w:firstLineChars="0"/>
        <w:rPr>
          <w:sz w:val="24"/>
          <w:szCs w:val="24"/>
        </w:rPr>
      </w:pPr>
      <w:r>
        <w:rPr>
          <w:rFonts w:hint="eastAsia"/>
          <w:sz w:val="24"/>
          <w:szCs w:val="24"/>
        </w:rPr>
        <w:t xml:space="preserve"> 监管机构、主管部门发布的法律、法规及规章对公司薪酬管理有特别规定的，按照相关特别规定执行。</w:t>
      </w:r>
    </w:p>
    <w:p w14:paraId="2208A11D">
      <w:pPr>
        <w:pStyle w:val="11"/>
        <w:numPr>
          <w:ilvl w:val="0"/>
          <w:numId w:val="2"/>
        </w:numPr>
        <w:spacing w:line="360" w:lineRule="auto"/>
        <w:ind w:firstLineChars="0"/>
        <w:rPr>
          <w:sz w:val="24"/>
          <w:szCs w:val="24"/>
        </w:rPr>
      </w:pPr>
      <w:r>
        <w:rPr>
          <w:rFonts w:hint="eastAsia"/>
          <w:sz w:val="24"/>
          <w:szCs w:val="24"/>
        </w:rPr>
        <w:t>本制度经股东会审议通过后执行。</w:t>
      </w:r>
    </w:p>
    <w:p w14:paraId="41FF77AE">
      <w:pPr>
        <w:pStyle w:val="11"/>
        <w:numPr>
          <w:ilvl w:val="0"/>
          <w:numId w:val="2"/>
        </w:numPr>
        <w:spacing w:line="360" w:lineRule="auto"/>
        <w:ind w:firstLineChars="0"/>
        <w:rPr>
          <w:sz w:val="24"/>
          <w:szCs w:val="24"/>
        </w:rPr>
      </w:pPr>
      <w:r>
        <w:rPr>
          <w:rFonts w:hint="eastAsia"/>
          <w:sz w:val="24"/>
          <w:szCs w:val="24"/>
        </w:rPr>
        <w:t>本制度由公司董事会负责解释。</w:t>
      </w:r>
    </w:p>
    <w:p w14:paraId="67B4C878">
      <w:pPr>
        <w:spacing w:line="560" w:lineRule="exact"/>
        <w:jc w:val="right"/>
        <w:rPr>
          <w:sz w:val="24"/>
          <w:szCs w:val="24"/>
        </w:rPr>
      </w:pP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290E86"/>
    <w:multiLevelType w:val="multilevel"/>
    <w:tmpl w:val="11290E86"/>
    <w:lvl w:ilvl="0" w:tentative="0">
      <w:start w:val="1"/>
      <w:numFmt w:val="japaneseCounting"/>
      <w:lvlText w:val="第%1章"/>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3240C76"/>
    <w:multiLevelType w:val="multilevel"/>
    <w:tmpl w:val="13240C76"/>
    <w:lvl w:ilvl="0" w:tentative="0">
      <w:start w:val="1"/>
      <w:numFmt w:val="japaneseCounting"/>
      <w:lvlText w:val="（%1）"/>
      <w:lvlJc w:val="left"/>
      <w:pPr>
        <w:ind w:left="825" w:hanging="360"/>
      </w:pPr>
      <w:rPr>
        <w:rFonts w:asciiTheme="minorHAnsi" w:hAnsiTheme="minorHAnsi" w:eastAsiaTheme="minorEastAsia" w:cstheme="minorBidi"/>
      </w:rPr>
    </w:lvl>
    <w:lvl w:ilvl="1" w:tentative="0">
      <w:start w:val="1"/>
      <w:numFmt w:val="lowerLetter"/>
      <w:lvlText w:val="%2)"/>
      <w:lvlJc w:val="left"/>
      <w:pPr>
        <w:ind w:left="1305" w:hanging="420"/>
      </w:pPr>
    </w:lvl>
    <w:lvl w:ilvl="2" w:tentative="0">
      <w:start w:val="1"/>
      <w:numFmt w:val="lowerRoman"/>
      <w:lvlText w:val="%3."/>
      <w:lvlJc w:val="right"/>
      <w:pPr>
        <w:ind w:left="1725" w:hanging="420"/>
      </w:pPr>
    </w:lvl>
    <w:lvl w:ilvl="3" w:tentative="0">
      <w:start w:val="1"/>
      <w:numFmt w:val="decimal"/>
      <w:lvlText w:val="%4."/>
      <w:lvlJc w:val="left"/>
      <w:pPr>
        <w:ind w:left="2145" w:hanging="420"/>
      </w:pPr>
    </w:lvl>
    <w:lvl w:ilvl="4" w:tentative="0">
      <w:start w:val="1"/>
      <w:numFmt w:val="lowerLetter"/>
      <w:lvlText w:val="%5)"/>
      <w:lvlJc w:val="left"/>
      <w:pPr>
        <w:ind w:left="2565" w:hanging="420"/>
      </w:pPr>
    </w:lvl>
    <w:lvl w:ilvl="5" w:tentative="0">
      <w:start w:val="1"/>
      <w:numFmt w:val="lowerRoman"/>
      <w:lvlText w:val="%6."/>
      <w:lvlJc w:val="right"/>
      <w:pPr>
        <w:ind w:left="2985" w:hanging="420"/>
      </w:pPr>
    </w:lvl>
    <w:lvl w:ilvl="6" w:tentative="0">
      <w:start w:val="1"/>
      <w:numFmt w:val="decimal"/>
      <w:lvlText w:val="%7."/>
      <w:lvlJc w:val="left"/>
      <w:pPr>
        <w:ind w:left="3405" w:hanging="420"/>
      </w:pPr>
    </w:lvl>
    <w:lvl w:ilvl="7" w:tentative="0">
      <w:start w:val="1"/>
      <w:numFmt w:val="lowerLetter"/>
      <w:lvlText w:val="%8)"/>
      <w:lvlJc w:val="left"/>
      <w:pPr>
        <w:ind w:left="3825" w:hanging="420"/>
      </w:pPr>
    </w:lvl>
    <w:lvl w:ilvl="8" w:tentative="0">
      <w:start w:val="1"/>
      <w:numFmt w:val="lowerRoman"/>
      <w:lvlText w:val="%9."/>
      <w:lvlJc w:val="right"/>
      <w:pPr>
        <w:ind w:left="4245" w:hanging="420"/>
      </w:pPr>
    </w:lvl>
  </w:abstractNum>
  <w:abstractNum w:abstractNumId="2">
    <w:nsid w:val="33E3468B"/>
    <w:multiLevelType w:val="multilevel"/>
    <w:tmpl w:val="33E3468B"/>
    <w:lvl w:ilvl="0" w:tentative="0">
      <w:start w:val="1"/>
      <w:numFmt w:val="japaneseCounting"/>
      <w:lvlText w:val="第%1条"/>
      <w:lvlJc w:val="left"/>
      <w:pPr>
        <w:ind w:left="735" w:hanging="73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0215ABA"/>
    <w:multiLevelType w:val="multilevel"/>
    <w:tmpl w:val="50215ABA"/>
    <w:lvl w:ilvl="0" w:tentative="0">
      <w:start w:val="1"/>
      <w:numFmt w:val="japaneseCounting"/>
      <w:lvlText w:val="（%1）"/>
      <w:lvlJc w:val="left"/>
      <w:pPr>
        <w:ind w:left="1455" w:hanging="720"/>
      </w:pPr>
      <w:rPr>
        <w:rFonts w:hint="default"/>
      </w:rPr>
    </w:lvl>
    <w:lvl w:ilvl="1" w:tentative="0">
      <w:start w:val="1"/>
      <w:numFmt w:val="lowerLetter"/>
      <w:lvlText w:val="%2)"/>
      <w:lvlJc w:val="left"/>
      <w:pPr>
        <w:ind w:left="1575" w:hanging="420"/>
      </w:pPr>
    </w:lvl>
    <w:lvl w:ilvl="2" w:tentative="0">
      <w:start w:val="1"/>
      <w:numFmt w:val="lowerRoman"/>
      <w:lvlText w:val="%3."/>
      <w:lvlJc w:val="right"/>
      <w:pPr>
        <w:ind w:left="1995" w:hanging="420"/>
      </w:pPr>
    </w:lvl>
    <w:lvl w:ilvl="3" w:tentative="0">
      <w:start w:val="1"/>
      <w:numFmt w:val="decimal"/>
      <w:lvlText w:val="%4."/>
      <w:lvlJc w:val="left"/>
      <w:pPr>
        <w:ind w:left="2415" w:hanging="420"/>
      </w:pPr>
    </w:lvl>
    <w:lvl w:ilvl="4" w:tentative="0">
      <w:start w:val="1"/>
      <w:numFmt w:val="lowerLetter"/>
      <w:lvlText w:val="%5)"/>
      <w:lvlJc w:val="left"/>
      <w:pPr>
        <w:ind w:left="2835" w:hanging="420"/>
      </w:pPr>
    </w:lvl>
    <w:lvl w:ilvl="5" w:tentative="0">
      <w:start w:val="1"/>
      <w:numFmt w:val="lowerRoman"/>
      <w:lvlText w:val="%6."/>
      <w:lvlJc w:val="right"/>
      <w:pPr>
        <w:ind w:left="3255" w:hanging="420"/>
      </w:pPr>
    </w:lvl>
    <w:lvl w:ilvl="6" w:tentative="0">
      <w:start w:val="1"/>
      <w:numFmt w:val="decimal"/>
      <w:lvlText w:val="%7."/>
      <w:lvlJc w:val="left"/>
      <w:pPr>
        <w:ind w:left="3675" w:hanging="420"/>
      </w:pPr>
    </w:lvl>
    <w:lvl w:ilvl="7" w:tentative="0">
      <w:start w:val="1"/>
      <w:numFmt w:val="lowerLetter"/>
      <w:lvlText w:val="%8)"/>
      <w:lvlJc w:val="left"/>
      <w:pPr>
        <w:ind w:left="4095" w:hanging="420"/>
      </w:pPr>
    </w:lvl>
    <w:lvl w:ilvl="8" w:tentative="0">
      <w:start w:val="1"/>
      <w:numFmt w:val="lowerRoman"/>
      <w:lvlText w:val="%9."/>
      <w:lvlJc w:val="right"/>
      <w:pPr>
        <w:ind w:left="4515" w:hanging="420"/>
      </w:pPr>
    </w:lvl>
  </w:abstractNum>
  <w:abstractNum w:abstractNumId="4">
    <w:nsid w:val="57A17F8D"/>
    <w:multiLevelType w:val="multilevel"/>
    <w:tmpl w:val="57A17F8D"/>
    <w:lvl w:ilvl="0" w:tentative="0">
      <w:start w:val="1"/>
      <w:numFmt w:val="japaneseCounting"/>
      <w:lvlText w:val="（%1）"/>
      <w:lvlJc w:val="left"/>
      <w:pPr>
        <w:ind w:left="1455" w:hanging="720"/>
      </w:pPr>
      <w:rPr>
        <w:rFonts w:hint="default"/>
      </w:rPr>
    </w:lvl>
    <w:lvl w:ilvl="1" w:tentative="0">
      <w:start w:val="1"/>
      <w:numFmt w:val="lowerLetter"/>
      <w:lvlText w:val="%2)"/>
      <w:lvlJc w:val="left"/>
      <w:pPr>
        <w:ind w:left="1575" w:hanging="420"/>
      </w:pPr>
    </w:lvl>
    <w:lvl w:ilvl="2" w:tentative="0">
      <w:start w:val="1"/>
      <w:numFmt w:val="lowerRoman"/>
      <w:lvlText w:val="%3."/>
      <w:lvlJc w:val="right"/>
      <w:pPr>
        <w:ind w:left="1995" w:hanging="420"/>
      </w:pPr>
    </w:lvl>
    <w:lvl w:ilvl="3" w:tentative="0">
      <w:start w:val="1"/>
      <w:numFmt w:val="decimal"/>
      <w:lvlText w:val="%4."/>
      <w:lvlJc w:val="left"/>
      <w:pPr>
        <w:ind w:left="2415" w:hanging="420"/>
      </w:pPr>
    </w:lvl>
    <w:lvl w:ilvl="4" w:tentative="0">
      <w:start w:val="1"/>
      <w:numFmt w:val="lowerLetter"/>
      <w:lvlText w:val="%5)"/>
      <w:lvlJc w:val="left"/>
      <w:pPr>
        <w:ind w:left="2835" w:hanging="420"/>
      </w:pPr>
    </w:lvl>
    <w:lvl w:ilvl="5" w:tentative="0">
      <w:start w:val="1"/>
      <w:numFmt w:val="lowerRoman"/>
      <w:lvlText w:val="%6."/>
      <w:lvlJc w:val="right"/>
      <w:pPr>
        <w:ind w:left="3255" w:hanging="420"/>
      </w:pPr>
    </w:lvl>
    <w:lvl w:ilvl="6" w:tentative="0">
      <w:start w:val="1"/>
      <w:numFmt w:val="decimal"/>
      <w:lvlText w:val="%7."/>
      <w:lvlJc w:val="left"/>
      <w:pPr>
        <w:ind w:left="3675" w:hanging="420"/>
      </w:pPr>
    </w:lvl>
    <w:lvl w:ilvl="7" w:tentative="0">
      <w:start w:val="1"/>
      <w:numFmt w:val="lowerLetter"/>
      <w:lvlText w:val="%8)"/>
      <w:lvlJc w:val="left"/>
      <w:pPr>
        <w:ind w:left="4095" w:hanging="420"/>
      </w:pPr>
    </w:lvl>
    <w:lvl w:ilvl="8" w:tentative="0">
      <w:start w:val="1"/>
      <w:numFmt w:val="lowerRoman"/>
      <w:lvlText w:val="%9."/>
      <w:lvlJc w:val="right"/>
      <w:pPr>
        <w:ind w:left="4515" w:hanging="420"/>
      </w:pPr>
    </w:lvl>
  </w:abstractNum>
  <w:abstractNum w:abstractNumId="5">
    <w:nsid w:val="5A663230"/>
    <w:multiLevelType w:val="multilevel"/>
    <w:tmpl w:val="5A663230"/>
    <w:lvl w:ilvl="0" w:tentative="0">
      <w:start w:val="1"/>
      <w:numFmt w:val="japaneseCounting"/>
      <w:lvlText w:val="（%1）"/>
      <w:lvlJc w:val="left"/>
      <w:pPr>
        <w:ind w:left="1429" w:hanging="720"/>
      </w:pPr>
      <w:rPr>
        <w:rFonts w:hint="default"/>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6">
    <w:nsid w:val="7DED53EA"/>
    <w:multiLevelType w:val="multilevel"/>
    <w:tmpl w:val="7DED53EA"/>
    <w:lvl w:ilvl="0" w:tentative="0">
      <w:start w:val="1"/>
      <w:numFmt w:val="japaneseCounting"/>
      <w:lvlText w:val="（%1）"/>
      <w:lvlJc w:val="left"/>
      <w:pPr>
        <w:ind w:left="1455" w:hanging="720"/>
      </w:pPr>
      <w:rPr>
        <w:rFonts w:hint="default"/>
      </w:rPr>
    </w:lvl>
    <w:lvl w:ilvl="1" w:tentative="0">
      <w:start w:val="1"/>
      <w:numFmt w:val="lowerLetter"/>
      <w:lvlText w:val="%2)"/>
      <w:lvlJc w:val="left"/>
      <w:pPr>
        <w:ind w:left="1575" w:hanging="420"/>
      </w:pPr>
    </w:lvl>
    <w:lvl w:ilvl="2" w:tentative="0">
      <w:start w:val="1"/>
      <w:numFmt w:val="lowerRoman"/>
      <w:lvlText w:val="%3."/>
      <w:lvlJc w:val="right"/>
      <w:pPr>
        <w:ind w:left="1995" w:hanging="420"/>
      </w:pPr>
    </w:lvl>
    <w:lvl w:ilvl="3" w:tentative="0">
      <w:start w:val="1"/>
      <w:numFmt w:val="decimal"/>
      <w:lvlText w:val="%4."/>
      <w:lvlJc w:val="left"/>
      <w:pPr>
        <w:ind w:left="2415" w:hanging="420"/>
      </w:pPr>
    </w:lvl>
    <w:lvl w:ilvl="4" w:tentative="0">
      <w:start w:val="1"/>
      <w:numFmt w:val="lowerLetter"/>
      <w:lvlText w:val="%5)"/>
      <w:lvlJc w:val="left"/>
      <w:pPr>
        <w:ind w:left="2835" w:hanging="420"/>
      </w:pPr>
    </w:lvl>
    <w:lvl w:ilvl="5" w:tentative="0">
      <w:start w:val="1"/>
      <w:numFmt w:val="lowerRoman"/>
      <w:lvlText w:val="%6."/>
      <w:lvlJc w:val="right"/>
      <w:pPr>
        <w:ind w:left="3255" w:hanging="420"/>
      </w:pPr>
    </w:lvl>
    <w:lvl w:ilvl="6" w:tentative="0">
      <w:start w:val="1"/>
      <w:numFmt w:val="decimal"/>
      <w:lvlText w:val="%7."/>
      <w:lvlJc w:val="left"/>
      <w:pPr>
        <w:ind w:left="3675" w:hanging="420"/>
      </w:pPr>
    </w:lvl>
    <w:lvl w:ilvl="7" w:tentative="0">
      <w:start w:val="1"/>
      <w:numFmt w:val="lowerLetter"/>
      <w:lvlText w:val="%8)"/>
      <w:lvlJc w:val="left"/>
      <w:pPr>
        <w:ind w:left="4095" w:hanging="420"/>
      </w:pPr>
    </w:lvl>
    <w:lvl w:ilvl="8" w:tentative="0">
      <w:start w:val="1"/>
      <w:numFmt w:val="lowerRoman"/>
      <w:lvlText w:val="%9."/>
      <w:lvlJc w:val="right"/>
      <w:pPr>
        <w:ind w:left="4515" w:hanging="420"/>
      </w:pPr>
    </w:lvl>
  </w:abstractNum>
  <w:num w:numId="1">
    <w:abstractNumId w:val="0"/>
  </w:num>
  <w:num w:numId="2">
    <w:abstractNumId w:val="2"/>
  </w:num>
  <w:num w:numId="3">
    <w:abstractNumId w:val="1"/>
  </w:num>
  <w:num w:numId="4">
    <w:abstractNumId w:val="6"/>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42"/>
    <w:rsid w:val="0000127D"/>
    <w:rsid w:val="000016A0"/>
    <w:rsid w:val="00003EFF"/>
    <w:rsid w:val="00004244"/>
    <w:rsid w:val="00004FF6"/>
    <w:rsid w:val="00005526"/>
    <w:rsid w:val="00006383"/>
    <w:rsid w:val="00010496"/>
    <w:rsid w:val="00013E42"/>
    <w:rsid w:val="000149F1"/>
    <w:rsid w:val="00015641"/>
    <w:rsid w:val="000169D2"/>
    <w:rsid w:val="0001743A"/>
    <w:rsid w:val="000215F1"/>
    <w:rsid w:val="00021D3F"/>
    <w:rsid w:val="00021DC5"/>
    <w:rsid w:val="00022AB9"/>
    <w:rsid w:val="000245C6"/>
    <w:rsid w:val="00024D0E"/>
    <w:rsid w:val="000265CA"/>
    <w:rsid w:val="000279BC"/>
    <w:rsid w:val="00027C75"/>
    <w:rsid w:val="00027D29"/>
    <w:rsid w:val="000303FF"/>
    <w:rsid w:val="00035F93"/>
    <w:rsid w:val="00041AC5"/>
    <w:rsid w:val="0004204B"/>
    <w:rsid w:val="00044F2C"/>
    <w:rsid w:val="0004506C"/>
    <w:rsid w:val="00046F8B"/>
    <w:rsid w:val="000475FA"/>
    <w:rsid w:val="00047C08"/>
    <w:rsid w:val="00050260"/>
    <w:rsid w:val="00052292"/>
    <w:rsid w:val="00053598"/>
    <w:rsid w:val="00053A4A"/>
    <w:rsid w:val="0005536E"/>
    <w:rsid w:val="00056627"/>
    <w:rsid w:val="0006027E"/>
    <w:rsid w:val="000626EE"/>
    <w:rsid w:val="000628B8"/>
    <w:rsid w:val="00062988"/>
    <w:rsid w:val="00066FE8"/>
    <w:rsid w:val="00067257"/>
    <w:rsid w:val="000714F8"/>
    <w:rsid w:val="00072AA6"/>
    <w:rsid w:val="0007375E"/>
    <w:rsid w:val="00077088"/>
    <w:rsid w:val="00077D98"/>
    <w:rsid w:val="00080C0E"/>
    <w:rsid w:val="00083B45"/>
    <w:rsid w:val="00084C40"/>
    <w:rsid w:val="00084E2C"/>
    <w:rsid w:val="00085864"/>
    <w:rsid w:val="00086116"/>
    <w:rsid w:val="000869A4"/>
    <w:rsid w:val="00090B3C"/>
    <w:rsid w:val="000924C3"/>
    <w:rsid w:val="00095A51"/>
    <w:rsid w:val="00095FD9"/>
    <w:rsid w:val="00096395"/>
    <w:rsid w:val="000976BA"/>
    <w:rsid w:val="000A12A8"/>
    <w:rsid w:val="000A6407"/>
    <w:rsid w:val="000A757C"/>
    <w:rsid w:val="000B22ED"/>
    <w:rsid w:val="000B495B"/>
    <w:rsid w:val="000B4B36"/>
    <w:rsid w:val="000B4C52"/>
    <w:rsid w:val="000B5D3F"/>
    <w:rsid w:val="000B5F68"/>
    <w:rsid w:val="000B6511"/>
    <w:rsid w:val="000B688B"/>
    <w:rsid w:val="000B7543"/>
    <w:rsid w:val="000B79B3"/>
    <w:rsid w:val="000C2769"/>
    <w:rsid w:val="000C3752"/>
    <w:rsid w:val="000C3973"/>
    <w:rsid w:val="000C3D49"/>
    <w:rsid w:val="000C4250"/>
    <w:rsid w:val="000C57C8"/>
    <w:rsid w:val="000C60DC"/>
    <w:rsid w:val="000C62BF"/>
    <w:rsid w:val="000C7C69"/>
    <w:rsid w:val="000C7EE3"/>
    <w:rsid w:val="000D1EFD"/>
    <w:rsid w:val="000D508E"/>
    <w:rsid w:val="000D5FB8"/>
    <w:rsid w:val="000E2065"/>
    <w:rsid w:val="000E3153"/>
    <w:rsid w:val="000E6F6C"/>
    <w:rsid w:val="000F3612"/>
    <w:rsid w:val="000F3B68"/>
    <w:rsid w:val="000F4AD1"/>
    <w:rsid w:val="000F53F5"/>
    <w:rsid w:val="000F61B9"/>
    <w:rsid w:val="00100CF6"/>
    <w:rsid w:val="00101E1B"/>
    <w:rsid w:val="00102307"/>
    <w:rsid w:val="00102507"/>
    <w:rsid w:val="001041F3"/>
    <w:rsid w:val="00104B58"/>
    <w:rsid w:val="00104D17"/>
    <w:rsid w:val="001052B6"/>
    <w:rsid w:val="00105A0E"/>
    <w:rsid w:val="001102C9"/>
    <w:rsid w:val="00110AFF"/>
    <w:rsid w:val="00110E8F"/>
    <w:rsid w:val="001135CD"/>
    <w:rsid w:val="001146C4"/>
    <w:rsid w:val="001168A7"/>
    <w:rsid w:val="00117D9C"/>
    <w:rsid w:val="00121028"/>
    <w:rsid w:val="001229BC"/>
    <w:rsid w:val="0012385F"/>
    <w:rsid w:val="00126BB4"/>
    <w:rsid w:val="00126E4F"/>
    <w:rsid w:val="00131CB5"/>
    <w:rsid w:val="00131ED2"/>
    <w:rsid w:val="00132D4B"/>
    <w:rsid w:val="00135ED0"/>
    <w:rsid w:val="00136255"/>
    <w:rsid w:val="00137886"/>
    <w:rsid w:val="00137A89"/>
    <w:rsid w:val="00140039"/>
    <w:rsid w:val="00141C27"/>
    <w:rsid w:val="00145B58"/>
    <w:rsid w:val="0014603F"/>
    <w:rsid w:val="00147D86"/>
    <w:rsid w:val="00147E60"/>
    <w:rsid w:val="001511A4"/>
    <w:rsid w:val="00151DB6"/>
    <w:rsid w:val="00153669"/>
    <w:rsid w:val="001548AC"/>
    <w:rsid w:val="00154D39"/>
    <w:rsid w:val="0015560F"/>
    <w:rsid w:val="00155735"/>
    <w:rsid w:val="00162173"/>
    <w:rsid w:val="00163120"/>
    <w:rsid w:val="00163B98"/>
    <w:rsid w:val="0016452D"/>
    <w:rsid w:val="00164DB0"/>
    <w:rsid w:val="0016522A"/>
    <w:rsid w:val="00165FA3"/>
    <w:rsid w:val="001671FA"/>
    <w:rsid w:val="00167D67"/>
    <w:rsid w:val="0017440E"/>
    <w:rsid w:val="001761D6"/>
    <w:rsid w:val="00177D44"/>
    <w:rsid w:val="001802BA"/>
    <w:rsid w:val="0018075A"/>
    <w:rsid w:val="00184C0E"/>
    <w:rsid w:val="00184F59"/>
    <w:rsid w:val="0018742B"/>
    <w:rsid w:val="00190EE2"/>
    <w:rsid w:val="00192BAD"/>
    <w:rsid w:val="00193CE5"/>
    <w:rsid w:val="00194117"/>
    <w:rsid w:val="00194911"/>
    <w:rsid w:val="001962D1"/>
    <w:rsid w:val="0019663A"/>
    <w:rsid w:val="0019764B"/>
    <w:rsid w:val="00197C7D"/>
    <w:rsid w:val="001A2D00"/>
    <w:rsid w:val="001A3533"/>
    <w:rsid w:val="001A38DC"/>
    <w:rsid w:val="001A421F"/>
    <w:rsid w:val="001A4DEF"/>
    <w:rsid w:val="001B0394"/>
    <w:rsid w:val="001B3680"/>
    <w:rsid w:val="001B4C07"/>
    <w:rsid w:val="001B517B"/>
    <w:rsid w:val="001C1257"/>
    <w:rsid w:val="001C3B45"/>
    <w:rsid w:val="001C5C83"/>
    <w:rsid w:val="001C6611"/>
    <w:rsid w:val="001D013D"/>
    <w:rsid w:val="001D0315"/>
    <w:rsid w:val="001D0B89"/>
    <w:rsid w:val="001D1C2C"/>
    <w:rsid w:val="001D1DB5"/>
    <w:rsid w:val="001D283A"/>
    <w:rsid w:val="001D2E5F"/>
    <w:rsid w:val="001D37A7"/>
    <w:rsid w:val="001D417E"/>
    <w:rsid w:val="001D6208"/>
    <w:rsid w:val="001E0BFE"/>
    <w:rsid w:val="001E0EEE"/>
    <w:rsid w:val="001E0FEE"/>
    <w:rsid w:val="001E1E86"/>
    <w:rsid w:val="001E21BE"/>
    <w:rsid w:val="001E36B9"/>
    <w:rsid w:val="001E42DF"/>
    <w:rsid w:val="001E6551"/>
    <w:rsid w:val="001F1A7C"/>
    <w:rsid w:val="001F202C"/>
    <w:rsid w:val="001F2C79"/>
    <w:rsid w:val="001F3B6E"/>
    <w:rsid w:val="001F43C7"/>
    <w:rsid w:val="001F5105"/>
    <w:rsid w:val="001F6E24"/>
    <w:rsid w:val="00201665"/>
    <w:rsid w:val="002023FB"/>
    <w:rsid w:val="00204874"/>
    <w:rsid w:val="00204A0B"/>
    <w:rsid w:val="00204BD4"/>
    <w:rsid w:val="00207D8A"/>
    <w:rsid w:val="00207DBE"/>
    <w:rsid w:val="00210E4A"/>
    <w:rsid w:val="002115CD"/>
    <w:rsid w:val="00214F9A"/>
    <w:rsid w:val="002151A2"/>
    <w:rsid w:val="00215F46"/>
    <w:rsid w:val="00220799"/>
    <w:rsid w:val="00222914"/>
    <w:rsid w:val="00224927"/>
    <w:rsid w:val="00224CA9"/>
    <w:rsid w:val="00230C06"/>
    <w:rsid w:val="00233859"/>
    <w:rsid w:val="0023563B"/>
    <w:rsid w:val="00235AFE"/>
    <w:rsid w:val="002371DA"/>
    <w:rsid w:val="0024049F"/>
    <w:rsid w:val="0024076F"/>
    <w:rsid w:val="00240BFF"/>
    <w:rsid w:val="00244F82"/>
    <w:rsid w:val="002460B4"/>
    <w:rsid w:val="00246415"/>
    <w:rsid w:val="0024658F"/>
    <w:rsid w:val="0025078A"/>
    <w:rsid w:val="00251E62"/>
    <w:rsid w:val="00253433"/>
    <w:rsid w:val="0026049D"/>
    <w:rsid w:val="0026320E"/>
    <w:rsid w:val="00264C47"/>
    <w:rsid w:val="00264EAF"/>
    <w:rsid w:val="00265DDC"/>
    <w:rsid w:val="002672FE"/>
    <w:rsid w:val="00267984"/>
    <w:rsid w:val="00267C1C"/>
    <w:rsid w:val="00270D67"/>
    <w:rsid w:val="00270E49"/>
    <w:rsid w:val="002719C6"/>
    <w:rsid w:val="00275108"/>
    <w:rsid w:val="002762AC"/>
    <w:rsid w:val="0027670B"/>
    <w:rsid w:val="002777D8"/>
    <w:rsid w:val="002809B4"/>
    <w:rsid w:val="002823FC"/>
    <w:rsid w:val="002829A9"/>
    <w:rsid w:val="00283355"/>
    <w:rsid w:val="00285BF7"/>
    <w:rsid w:val="002860ED"/>
    <w:rsid w:val="00286547"/>
    <w:rsid w:val="00286D97"/>
    <w:rsid w:val="002874D6"/>
    <w:rsid w:val="002907BF"/>
    <w:rsid w:val="0029172F"/>
    <w:rsid w:val="002919B4"/>
    <w:rsid w:val="00294273"/>
    <w:rsid w:val="00296D9B"/>
    <w:rsid w:val="002A002A"/>
    <w:rsid w:val="002A129A"/>
    <w:rsid w:val="002A33E9"/>
    <w:rsid w:val="002A3570"/>
    <w:rsid w:val="002A458E"/>
    <w:rsid w:val="002A5D4D"/>
    <w:rsid w:val="002A60DF"/>
    <w:rsid w:val="002A6EFC"/>
    <w:rsid w:val="002A734E"/>
    <w:rsid w:val="002B01F1"/>
    <w:rsid w:val="002B0387"/>
    <w:rsid w:val="002B1341"/>
    <w:rsid w:val="002B38B8"/>
    <w:rsid w:val="002B39F2"/>
    <w:rsid w:val="002B649E"/>
    <w:rsid w:val="002B657E"/>
    <w:rsid w:val="002B7A4D"/>
    <w:rsid w:val="002C0975"/>
    <w:rsid w:val="002C16F0"/>
    <w:rsid w:val="002C35C3"/>
    <w:rsid w:val="002C3A10"/>
    <w:rsid w:val="002C5723"/>
    <w:rsid w:val="002C615E"/>
    <w:rsid w:val="002C77BA"/>
    <w:rsid w:val="002C7912"/>
    <w:rsid w:val="002D0481"/>
    <w:rsid w:val="002D07BF"/>
    <w:rsid w:val="002D1A8E"/>
    <w:rsid w:val="002D2679"/>
    <w:rsid w:val="002D45A4"/>
    <w:rsid w:val="002D4C27"/>
    <w:rsid w:val="002D74A5"/>
    <w:rsid w:val="002D7D86"/>
    <w:rsid w:val="002D7D97"/>
    <w:rsid w:val="002E06A0"/>
    <w:rsid w:val="002E0C00"/>
    <w:rsid w:val="002E0E58"/>
    <w:rsid w:val="002E1ADA"/>
    <w:rsid w:val="002E226A"/>
    <w:rsid w:val="002E2314"/>
    <w:rsid w:val="002E2B22"/>
    <w:rsid w:val="002E2F21"/>
    <w:rsid w:val="002E36C9"/>
    <w:rsid w:val="002E552A"/>
    <w:rsid w:val="002E5C0D"/>
    <w:rsid w:val="002E72C8"/>
    <w:rsid w:val="002E7394"/>
    <w:rsid w:val="002F10CF"/>
    <w:rsid w:val="002F1CEE"/>
    <w:rsid w:val="002F2DB4"/>
    <w:rsid w:val="002F36E7"/>
    <w:rsid w:val="002F3917"/>
    <w:rsid w:val="002F513F"/>
    <w:rsid w:val="002F5980"/>
    <w:rsid w:val="002F5BC5"/>
    <w:rsid w:val="002F6C51"/>
    <w:rsid w:val="002F77B8"/>
    <w:rsid w:val="00300797"/>
    <w:rsid w:val="00300ED3"/>
    <w:rsid w:val="003019A1"/>
    <w:rsid w:val="00302479"/>
    <w:rsid w:val="003027FD"/>
    <w:rsid w:val="00304854"/>
    <w:rsid w:val="00306B1D"/>
    <w:rsid w:val="003076D5"/>
    <w:rsid w:val="00312F20"/>
    <w:rsid w:val="003176D1"/>
    <w:rsid w:val="00317FFD"/>
    <w:rsid w:val="003210F5"/>
    <w:rsid w:val="0032163F"/>
    <w:rsid w:val="0032188A"/>
    <w:rsid w:val="00322215"/>
    <w:rsid w:val="003224B2"/>
    <w:rsid w:val="00323CBB"/>
    <w:rsid w:val="00323D78"/>
    <w:rsid w:val="003243DD"/>
    <w:rsid w:val="00324764"/>
    <w:rsid w:val="00324C64"/>
    <w:rsid w:val="003254E5"/>
    <w:rsid w:val="00325906"/>
    <w:rsid w:val="00326B31"/>
    <w:rsid w:val="00330267"/>
    <w:rsid w:val="00330D64"/>
    <w:rsid w:val="00335255"/>
    <w:rsid w:val="003355C2"/>
    <w:rsid w:val="00335A24"/>
    <w:rsid w:val="00335B4A"/>
    <w:rsid w:val="00336100"/>
    <w:rsid w:val="00337F0F"/>
    <w:rsid w:val="00341AC8"/>
    <w:rsid w:val="003453D0"/>
    <w:rsid w:val="00347C0C"/>
    <w:rsid w:val="00350F24"/>
    <w:rsid w:val="00352928"/>
    <w:rsid w:val="003545EA"/>
    <w:rsid w:val="00355291"/>
    <w:rsid w:val="00355AD2"/>
    <w:rsid w:val="003565BC"/>
    <w:rsid w:val="00356FF7"/>
    <w:rsid w:val="0036027B"/>
    <w:rsid w:val="00363A53"/>
    <w:rsid w:val="003665F9"/>
    <w:rsid w:val="00366A5C"/>
    <w:rsid w:val="00370663"/>
    <w:rsid w:val="00370904"/>
    <w:rsid w:val="00371790"/>
    <w:rsid w:val="0037397A"/>
    <w:rsid w:val="003739B8"/>
    <w:rsid w:val="00375098"/>
    <w:rsid w:val="00377230"/>
    <w:rsid w:val="00382CD0"/>
    <w:rsid w:val="00383B47"/>
    <w:rsid w:val="003841E0"/>
    <w:rsid w:val="003842FF"/>
    <w:rsid w:val="00384932"/>
    <w:rsid w:val="0038535F"/>
    <w:rsid w:val="0038608E"/>
    <w:rsid w:val="0039141F"/>
    <w:rsid w:val="00391573"/>
    <w:rsid w:val="00392389"/>
    <w:rsid w:val="00393432"/>
    <w:rsid w:val="003934A7"/>
    <w:rsid w:val="00394DC9"/>
    <w:rsid w:val="00395CAF"/>
    <w:rsid w:val="003A0D49"/>
    <w:rsid w:val="003A234F"/>
    <w:rsid w:val="003A2AED"/>
    <w:rsid w:val="003A3294"/>
    <w:rsid w:val="003A39F9"/>
    <w:rsid w:val="003A3C36"/>
    <w:rsid w:val="003A3F36"/>
    <w:rsid w:val="003A4412"/>
    <w:rsid w:val="003A589F"/>
    <w:rsid w:val="003A5D6E"/>
    <w:rsid w:val="003A6813"/>
    <w:rsid w:val="003B0EF6"/>
    <w:rsid w:val="003B130F"/>
    <w:rsid w:val="003B1701"/>
    <w:rsid w:val="003B1AEB"/>
    <w:rsid w:val="003B2D0D"/>
    <w:rsid w:val="003B4628"/>
    <w:rsid w:val="003B62BD"/>
    <w:rsid w:val="003C0528"/>
    <w:rsid w:val="003C0610"/>
    <w:rsid w:val="003C09FE"/>
    <w:rsid w:val="003C1B4C"/>
    <w:rsid w:val="003C3F63"/>
    <w:rsid w:val="003C48B6"/>
    <w:rsid w:val="003C52E5"/>
    <w:rsid w:val="003D01DC"/>
    <w:rsid w:val="003D0411"/>
    <w:rsid w:val="003D0B4F"/>
    <w:rsid w:val="003D15B4"/>
    <w:rsid w:val="003D1A3E"/>
    <w:rsid w:val="003D2722"/>
    <w:rsid w:val="003D2FB4"/>
    <w:rsid w:val="003D7C8A"/>
    <w:rsid w:val="003E0259"/>
    <w:rsid w:val="003E0C44"/>
    <w:rsid w:val="003E10AF"/>
    <w:rsid w:val="003E138C"/>
    <w:rsid w:val="003E24F7"/>
    <w:rsid w:val="003E330F"/>
    <w:rsid w:val="003E42E4"/>
    <w:rsid w:val="003E44BC"/>
    <w:rsid w:val="003E49E3"/>
    <w:rsid w:val="003E642F"/>
    <w:rsid w:val="003F0F6C"/>
    <w:rsid w:val="003F14CC"/>
    <w:rsid w:val="003F1513"/>
    <w:rsid w:val="003F17C5"/>
    <w:rsid w:val="003F248B"/>
    <w:rsid w:val="003F26D8"/>
    <w:rsid w:val="003F2D39"/>
    <w:rsid w:val="003F3ACA"/>
    <w:rsid w:val="003F4BAA"/>
    <w:rsid w:val="003F7563"/>
    <w:rsid w:val="003F7F8F"/>
    <w:rsid w:val="00400A19"/>
    <w:rsid w:val="004022F5"/>
    <w:rsid w:val="00403BF8"/>
    <w:rsid w:val="00403C17"/>
    <w:rsid w:val="00404D11"/>
    <w:rsid w:val="00405093"/>
    <w:rsid w:val="004057F4"/>
    <w:rsid w:val="004065DA"/>
    <w:rsid w:val="004108E1"/>
    <w:rsid w:val="0041160F"/>
    <w:rsid w:val="00412A2C"/>
    <w:rsid w:val="0041449B"/>
    <w:rsid w:val="0041676F"/>
    <w:rsid w:val="00420BA0"/>
    <w:rsid w:val="00421B0A"/>
    <w:rsid w:val="00426C0C"/>
    <w:rsid w:val="00427160"/>
    <w:rsid w:val="004278B1"/>
    <w:rsid w:val="00427D99"/>
    <w:rsid w:val="00430E1F"/>
    <w:rsid w:val="00431B66"/>
    <w:rsid w:val="004331CF"/>
    <w:rsid w:val="0043408C"/>
    <w:rsid w:val="0043413C"/>
    <w:rsid w:val="00434959"/>
    <w:rsid w:val="00434E62"/>
    <w:rsid w:val="004353FA"/>
    <w:rsid w:val="004356D6"/>
    <w:rsid w:val="0043714A"/>
    <w:rsid w:val="00444A25"/>
    <w:rsid w:val="004450B4"/>
    <w:rsid w:val="00450678"/>
    <w:rsid w:val="004508B1"/>
    <w:rsid w:val="004508F7"/>
    <w:rsid w:val="00450C36"/>
    <w:rsid w:val="00450D91"/>
    <w:rsid w:val="00451E35"/>
    <w:rsid w:val="00452E32"/>
    <w:rsid w:val="00454370"/>
    <w:rsid w:val="004554CE"/>
    <w:rsid w:val="00455B5C"/>
    <w:rsid w:val="004568E4"/>
    <w:rsid w:val="0045730A"/>
    <w:rsid w:val="0046014D"/>
    <w:rsid w:val="00460E26"/>
    <w:rsid w:val="00461814"/>
    <w:rsid w:val="00461E98"/>
    <w:rsid w:val="00462C92"/>
    <w:rsid w:val="004633BA"/>
    <w:rsid w:val="004635C3"/>
    <w:rsid w:val="00463B38"/>
    <w:rsid w:val="004641B1"/>
    <w:rsid w:val="00464548"/>
    <w:rsid w:val="00464A93"/>
    <w:rsid w:val="00467420"/>
    <w:rsid w:val="004674EF"/>
    <w:rsid w:val="00467E1D"/>
    <w:rsid w:val="00471220"/>
    <w:rsid w:val="004735FC"/>
    <w:rsid w:val="00475082"/>
    <w:rsid w:val="00477B60"/>
    <w:rsid w:val="0048028F"/>
    <w:rsid w:val="00481E9A"/>
    <w:rsid w:val="00482395"/>
    <w:rsid w:val="004828B9"/>
    <w:rsid w:val="00482B14"/>
    <w:rsid w:val="004852D6"/>
    <w:rsid w:val="00485D70"/>
    <w:rsid w:val="00486D2A"/>
    <w:rsid w:val="00487283"/>
    <w:rsid w:val="00487D3E"/>
    <w:rsid w:val="00490414"/>
    <w:rsid w:val="00491EC6"/>
    <w:rsid w:val="00494A94"/>
    <w:rsid w:val="004962E1"/>
    <w:rsid w:val="004967A9"/>
    <w:rsid w:val="004A0DC2"/>
    <w:rsid w:val="004A1CB1"/>
    <w:rsid w:val="004A3885"/>
    <w:rsid w:val="004A3B36"/>
    <w:rsid w:val="004A51A9"/>
    <w:rsid w:val="004A6199"/>
    <w:rsid w:val="004A79C5"/>
    <w:rsid w:val="004A7B2F"/>
    <w:rsid w:val="004B03C5"/>
    <w:rsid w:val="004C1BF5"/>
    <w:rsid w:val="004C3EC7"/>
    <w:rsid w:val="004C54DA"/>
    <w:rsid w:val="004C7232"/>
    <w:rsid w:val="004D066A"/>
    <w:rsid w:val="004D0E66"/>
    <w:rsid w:val="004D20CD"/>
    <w:rsid w:val="004D3F98"/>
    <w:rsid w:val="004D43EA"/>
    <w:rsid w:val="004D51A8"/>
    <w:rsid w:val="004D5954"/>
    <w:rsid w:val="004D6F5A"/>
    <w:rsid w:val="004E02FE"/>
    <w:rsid w:val="004E1E43"/>
    <w:rsid w:val="004E2FF6"/>
    <w:rsid w:val="004E4031"/>
    <w:rsid w:val="004E712D"/>
    <w:rsid w:val="004F197E"/>
    <w:rsid w:val="004F20F9"/>
    <w:rsid w:val="004F21B0"/>
    <w:rsid w:val="004F321A"/>
    <w:rsid w:val="004F427B"/>
    <w:rsid w:val="004F43BD"/>
    <w:rsid w:val="004F49F9"/>
    <w:rsid w:val="004F7151"/>
    <w:rsid w:val="0050246F"/>
    <w:rsid w:val="00502D25"/>
    <w:rsid w:val="00504757"/>
    <w:rsid w:val="005051EF"/>
    <w:rsid w:val="00505920"/>
    <w:rsid w:val="00505A76"/>
    <w:rsid w:val="00506F7C"/>
    <w:rsid w:val="0050772B"/>
    <w:rsid w:val="00511716"/>
    <w:rsid w:val="005117BE"/>
    <w:rsid w:val="005129F7"/>
    <w:rsid w:val="00513A3C"/>
    <w:rsid w:val="00513C9C"/>
    <w:rsid w:val="005148B7"/>
    <w:rsid w:val="00516DB8"/>
    <w:rsid w:val="00517BB6"/>
    <w:rsid w:val="00521858"/>
    <w:rsid w:val="00523248"/>
    <w:rsid w:val="005245EB"/>
    <w:rsid w:val="00527CF4"/>
    <w:rsid w:val="00530548"/>
    <w:rsid w:val="00530A26"/>
    <w:rsid w:val="00530DFF"/>
    <w:rsid w:val="0053107D"/>
    <w:rsid w:val="00534DC8"/>
    <w:rsid w:val="005350B1"/>
    <w:rsid w:val="00536CDA"/>
    <w:rsid w:val="005400B0"/>
    <w:rsid w:val="005420E5"/>
    <w:rsid w:val="00543446"/>
    <w:rsid w:val="00550308"/>
    <w:rsid w:val="00551784"/>
    <w:rsid w:val="0055203F"/>
    <w:rsid w:val="00555484"/>
    <w:rsid w:val="00556B99"/>
    <w:rsid w:val="00557C47"/>
    <w:rsid w:val="00560082"/>
    <w:rsid w:val="00560744"/>
    <w:rsid w:val="00560B3D"/>
    <w:rsid w:val="00560D30"/>
    <w:rsid w:val="0056373D"/>
    <w:rsid w:val="005643C7"/>
    <w:rsid w:val="0056442E"/>
    <w:rsid w:val="00565C3C"/>
    <w:rsid w:val="005677F3"/>
    <w:rsid w:val="00570C71"/>
    <w:rsid w:val="00571535"/>
    <w:rsid w:val="00572032"/>
    <w:rsid w:val="00572EC0"/>
    <w:rsid w:val="00574447"/>
    <w:rsid w:val="005767D6"/>
    <w:rsid w:val="00577488"/>
    <w:rsid w:val="00582092"/>
    <w:rsid w:val="00582745"/>
    <w:rsid w:val="00582AE6"/>
    <w:rsid w:val="00583932"/>
    <w:rsid w:val="00585D52"/>
    <w:rsid w:val="00586557"/>
    <w:rsid w:val="0058715A"/>
    <w:rsid w:val="00587666"/>
    <w:rsid w:val="00587D23"/>
    <w:rsid w:val="005918A3"/>
    <w:rsid w:val="00591C5B"/>
    <w:rsid w:val="005935DE"/>
    <w:rsid w:val="00594562"/>
    <w:rsid w:val="00597BCD"/>
    <w:rsid w:val="005A176F"/>
    <w:rsid w:val="005A1B17"/>
    <w:rsid w:val="005A1D1F"/>
    <w:rsid w:val="005A237A"/>
    <w:rsid w:val="005A29A3"/>
    <w:rsid w:val="005A3227"/>
    <w:rsid w:val="005A6DAF"/>
    <w:rsid w:val="005A785C"/>
    <w:rsid w:val="005B285E"/>
    <w:rsid w:val="005B774A"/>
    <w:rsid w:val="005C01C3"/>
    <w:rsid w:val="005C134A"/>
    <w:rsid w:val="005C18B8"/>
    <w:rsid w:val="005C30C3"/>
    <w:rsid w:val="005C4B00"/>
    <w:rsid w:val="005C7F01"/>
    <w:rsid w:val="005D00F6"/>
    <w:rsid w:val="005D0FBE"/>
    <w:rsid w:val="005D19C7"/>
    <w:rsid w:val="005D2A9D"/>
    <w:rsid w:val="005D2DF9"/>
    <w:rsid w:val="005D2DFF"/>
    <w:rsid w:val="005D32F3"/>
    <w:rsid w:val="005D3BE8"/>
    <w:rsid w:val="005D3F6D"/>
    <w:rsid w:val="005D4C03"/>
    <w:rsid w:val="005D6A6B"/>
    <w:rsid w:val="005E060B"/>
    <w:rsid w:val="005E0FCF"/>
    <w:rsid w:val="005E1685"/>
    <w:rsid w:val="005E2B5D"/>
    <w:rsid w:val="005E38F3"/>
    <w:rsid w:val="005E46B8"/>
    <w:rsid w:val="005E5217"/>
    <w:rsid w:val="005E6928"/>
    <w:rsid w:val="005F0E15"/>
    <w:rsid w:val="005F14A8"/>
    <w:rsid w:val="005F3D64"/>
    <w:rsid w:val="005F424F"/>
    <w:rsid w:val="005F558C"/>
    <w:rsid w:val="00600104"/>
    <w:rsid w:val="00601A13"/>
    <w:rsid w:val="00602248"/>
    <w:rsid w:val="00602369"/>
    <w:rsid w:val="00602BE2"/>
    <w:rsid w:val="0060380C"/>
    <w:rsid w:val="0060416E"/>
    <w:rsid w:val="00604237"/>
    <w:rsid w:val="00605557"/>
    <w:rsid w:val="006058F0"/>
    <w:rsid w:val="006070A6"/>
    <w:rsid w:val="00607508"/>
    <w:rsid w:val="00607CC6"/>
    <w:rsid w:val="00607E9C"/>
    <w:rsid w:val="00610FCF"/>
    <w:rsid w:val="00612234"/>
    <w:rsid w:val="006124BB"/>
    <w:rsid w:val="0061392A"/>
    <w:rsid w:val="00615182"/>
    <w:rsid w:val="00615FFE"/>
    <w:rsid w:val="006161FE"/>
    <w:rsid w:val="006164DC"/>
    <w:rsid w:val="0061681D"/>
    <w:rsid w:val="00617BB1"/>
    <w:rsid w:val="00617C70"/>
    <w:rsid w:val="0062078D"/>
    <w:rsid w:val="006216A4"/>
    <w:rsid w:val="00622558"/>
    <w:rsid w:val="00622D68"/>
    <w:rsid w:val="006253A7"/>
    <w:rsid w:val="00625F29"/>
    <w:rsid w:val="006261A4"/>
    <w:rsid w:val="006277DF"/>
    <w:rsid w:val="00630B3D"/>
    <w:rsid w:val="006322BF"/>
    <w:rsid w:val="006333C8"/>
    <w:rsid w:val="00634796"/>
    <w:rsid w:val="006358E7"/>
    <w:rsid w:val="00637079"/>
    <w:rsid w:val="00637C61"/>
    <w:rsid w:val="00641CB2"/>
    <w:rsid w:val="006433B4"/>
    <w:rsid w:val="006435C3"/>
    <w:rsid w:val="006439E3"/>
    <w:rsid w:val="006455A8"/>
    <w:rsid w:val="006461DE"/>
    <w:rsid w:val="006468F8"/>
    <w:rsid w:val="0064757A"/>
    <w:rsid w:val="00650359"/>
    <w:rsid w:val="00652B55"/>
    <w:rsid w:val="00652F90"/>
    <w:rsid w:val="006556B0"/>
    <w:rsid w:val="006578A8"/>
    <w:rsid w:val="006617EE"/>
    <w:rsid w:val="00661B31"/>
    <w:rsid w:val="00661CF9"/>
    <w:rsid w:val="00663583"/>
    <w:rsid w:val="00664EAC"/>
    <w:rsid w:val="006656FB"/>
    <w:rsid w:val="006657D5"/>
    <w:rsid w:val="00665BBB"/>
    <w:rsid w:val="00667064"/>
    <w:rsid w:val="00667C02"/>
    <w:rsid w:val="006724D4"/>
    <w:rsid w:val="00675057"/>
    <w:rsid w:val="006753A7"/>
    <w:rsid w:val="00677977"/>
    <w:rsid w:val="006803B7"/>
    <w:rsid w:val="00680574"/>
    <w:rsid w:val="0068093F"/>
    <w:rsid w:val="00680BA9"/>
    <w:rsid w:val="00681DCC"/>
    <w:rsid w:val="00683307"/>
    <w:rsid w:val="006838B1"/>
    <w:rsid w:val="0068605C"/>
    <w:rsid w:val="00692B48"/>
    <w:rsid w:val="00694C5E"/>
    <w:rsid w:val="006965A9"/>
    <w:rsid w:val="00696874"/>
    <w:rsid w:val="0069728D"/>
    <w:rsid w:val="006A05F0"/>
    <w:rsid w:val="006A1D27"/>
    <w:rsid w:val="006A2481"/>
    <w:rsid w:val="006A403C"/>
    <w:rsid w:val="006A53DB"/>
    <w:rsid w:val="006A594B"/>
    <w:rsid w:val="006A6210"/>
    <w:rsid w:val="006A7404"/>
    <w:rsid w:val="006B046A"/>
    <w:rsid w:val="006B085A"/>
    <w:rsid w:val="006B0CB6"/>
    <w:rsid w:val="006B15FE"/>
    <w:rsid w:val="006B3F30"/>
    <w:rsid w:val="006B45F7"/>
    <w:rsid w:val="006B4BC2"/>
    <w:rsid w:val="006B665A"/>
    <w:rsid w:val="006B7D70"/>
    <w:rsid w:val="006C11CD"/>
    <w:rsid w:val="006C4C14"/>
    <w:rsid w:val="006C4CA4"/>
    <w:rsid w:val="006C53ED"/>
    <w:rsid w:val="006C5A43"/>
    <w:rsid w:val="006C6C84"/>
    <w:rsid w:val="006C7BFC"/>
    <w:rsid w:val="006D0116"/>
    <w:rsid w:val="006D1D13"/>
    <w:rsid w:val="006D1E9B"/>
    <w:rsid w:val="006D1E9C"/>
    <w:rsid w:val="006D3A67"/>
    <w:rsid w:val="006D470F"/>
    <w:rsid w:val="006D6A12"/>
    <w:rsid w:val="006D6B75"/>
    <w:rsid w:val="006E399E"/>
    <w:rsid w:val="006E4910"/>
    <w:rsid w:val="006E5566"/>
    <w:rsid w:val="006E5DED"/>
    <w:rsid w:val="006E619B"/>
    <w:rsid w:val="006E78F8"/>
    <w:rsid w:val="006F0EFF"/>
    <w:rsid w:val="006F4C21"/>
    <w:rsid w:val="006F6DE2"/>
    <w:rsid w:val="00703E2B"/>
    <w:rsid w:val="00706731"/>
    <w:rsid w:val="00706948"/>
    <w:rsid w:val="00707674"/>
    <w:rsid w:val="007101AA"/>
    <w:rsid w:val="00710AD5"/>
    <w:rsid w:val="00710D73"/>
    <w:rsid w:val="00711CE7"/>
    <w:rsid w:val="00712B1A"/>
    <w:rsid w:val="0071362E"/>
    <w:rsid w:val="0071423E"/>
    <w:rsid w:val="00714ECE"/>
    <w:rsid w:val="007153F7"/>
    <w:rsid w:val="007167FE"/>
    <w:rsid w:val="00722AB6"/>
    <w:rsid w:val="00723246"/>
    <w:rsid w:val="0072336B"/>
    <w:rsid w:val="00724804"/>
    <w:rsid w:val="007261C3"/>
    <w:rsid w:val="007262A5"/>
    <w:rsid w:val="00726A4C"/>
    <w:rsid w:val="007307EA"/>
    <w:rsid w:val="00731298"/>
    <w:rsid w:val="007315DD"/>
    <w:rsid w:val="00731DFA"/>
    <w:rsid w:val="00732191"/>
    <w:rsid w:val="00732541"/>
    <w:rsid w:val="00734293"/>
    <w:rsid w:val="00734A05"/>
    <w:rsid w:val="00734BBE"/>
    <w:rsid w:val="00734FC6"/>
    <w:rsid w:val="00736A84"/>
    <w:rsid w:val="00740D6A"/>
    <w:rsid w:val="00741696"/>
    <w:rsid w:val="00743BD6"/>
    <w:rsid w:val="00743E98"/>
    <w:rsid w:val="007456C8"/>
    <w:rsid w:val="007457BC"/>
    <w:rsid w:val="00745FC8"/>
    <w:rsid w:val="00746E11"/>
    <w:rsid w:val="00750742"/>
    <w:rsid w:val="007519B7"/>
    <w:rsid w:val="00763816"/>
    <w:rsid w:val="00764EB4"/>
    <w:rsid w:val="00766208"/>
    <w:rsid w:val="0076651D"/>
    <w:rsid w:val="00766995"/>
    <w:rsid w:val="00766B33"/>
    <w:rsid w:val="007673CE"/>
    <w:rsid w:val="00771890"/>
    <w:rsid w:val="00771E44"/>
    <w:rsid w:val="00772011"/>
    <w:rsid w:val="00773053"/>
    <w:rsid w:val="00773110"/>
    <w:rsid w:val="00773190"/>
    <w:rsid w:val="0077371E"/>
    <w:rsid w:val="00774D6F"/>
    <w:rsid w:val="00774F90"/>
    <w:rsid w:val="00776ABB"/>
    <w:rsid w:val="00777242"/>
    <w:rsid w:val="00780B92"/>
    <w:rsid w:val="007823D2"/>
    <w:rsid w:val="00783DA7"/>
    <w:rsid w:val="00784284"/>
    <w:rsid w:val="007853FD"/>
    <w:rsid w:val="00785662"/>
    <w:rsid w:val="007909AB"/>
    <w:rsid w:val="00790C8C"/>
    <w:rsid w:val="00790E38"/>
    <w:rsid w:val="00792092"/>
    <w:rsid w:val="007950C6"/>
    <w:rsid w:val="00795102"/>
    <w:rsid w:val="007955E8"/>
    <w:rsid w:val="007974F6"/>
    <w:rsid w:val="007978F1"/>
    <w:rsid w:val="007A0A30"/>
    <w:rsid w:val="007A19B7"/>
    <w:rsid w:val="007A282D"/>
    <w:rsid w:val="007A2EBB"/>
    <w:rsid w:val="007A318A"/>
    <w:rsid w:val="007A3E61"/>
    <w:rsid w:val="007A3F32"/>
    <w:rsid w:val="007A590B"/>
    <w:rsid w:val="007A745E"/>
    <w:rsid w:val="007B00C9"/>
    <w:rsid w:val="007B0E47"/>
    <w:rsid w:val="007B15F1"/>
    <w:rsid w:val="007B20CB"/>
    <w:rsid w:val="007B21AE"/>
    <w:rsid w:val="007B4061"/>
    <w:rsid w:val="007B77E8"/>
    <w:rsid w:val="007C4911"/>
    <w:rsid w:val="007C656A"/>
    <w:rsid w:val="007C668E"/>
    <w:rsid w:val="007C69A8"/>
    <w:rsid w:val="007D1311"/>
    <w:rsid w:val="007D2ACF"/>
    <w:rsid w:val="007D3CE0"/>
    <w:rsid w:val="007D424B"/>
    <w:rsid w:val="007D4801"/>
    <w:rsid w:val="007D4839"/>
    <w:rsid w:val="007D4C10"/>
    <w:rsid w:val="007E0E71"/>
    <w:rsid w:val="007E12A2"/>
    <w:rsid w:val="007E318A"/>
    <w:rsid w:val="007E4DEE"/>
    <w:rsid w:val="007E5110"/>
    <w:rsid w:val="007E6B70"/>
    <w:rsid w:val="007E737D"/>
    <w:rsid w:val="007E75C9"/>
    <w:rsid w:val="007F1611"/>
    <w:rsid w:val="007F1765"/>
    <w:rsid w:val="007F188E"/>
    <w:rsid w:val="007F1AA8"/>
    <w:rsid w:val="007F2077"/>
    <w:rsid w:val="007F27A1"/>
    <w:rsid w:val="007F28A9"/>
    <w:rsid w:val="007F321B"/>
    <w:rsid w:val="007F5C5B"/>
    <w:rsid w:val="007F67D1"/>
    <w:rsid w:val="007F73F9"/>
    <w:rsid w:val="007F7808"/>
    <w:rsid w:val="00800720"/>
    <w:rsid w:val="00800942"/>
    <w:rsid w:val="00801003"/>
    <w:rsid w:val="008020A6"/>
    <w:rsid w:val="008025D5"/>
    <w:rsid w:val="00802C3A"/>
    <w:rsid w:val="00802EE1"/>
    <w:rsid w:val="00803015"/>
    <w:rsid w:val="008031BD"/>
    <w:rsid w:val="008031C2"/>
    <w:rsid w:val="008041DA"/>
    <w:rsid w:val="00804383"/>
    <w:rsid w:val="00804572"/>
    <w:rsid w:val="00805B6A"/>
    <w:rsid w:val="00807FB5"/>
    <w:rsid w:val="00811A7C"/>
    <w:rsid w:val="008144B6"/>
    <w:rsid w:val="00814577"/>
    <w:rsid w:val="00814614"/>
    <w:rsid w:val="008151F3"/>
    <w:rsid w:val="00816991"/>
    <w:rsid w:val="008169F8"/>
    <w:rsid w:val="00816F2D"/>
    <w:rsid w:val="0082032E"/>
    <w:rsid w:val="00822375"/>
    <w:rsid w:val="00823663"/>
    <w:rsid w:val="0082460D"/>
    <w:rsid w:val="00825490"/>
    <w:rsid w:val="008254AB"/>
    <w:rsid w:val="0082584F"/>
    <w:rsid w:val="00826E62"/>
    <w:rsid w:val="00831137"/>
    <w:rsid w:val="0083119C"/>
    <w:rsid w:val="00833A20"/>
    <w:rsid w:val="00835524"/>
    <w:rsid w:val="00835A5A"/>
    <w:rsid w:val="00836048"/>
    <w:rsid w:val="008360EA"/>
    <w:rsid w:val="00836FF3"/>
    <w:rsid w:val="0084114B"/>
    <w:rsid w:val="008428FE"/>
    <w:rsid w:val="00843BE8"/>
    <w:rsid w:val="00845E87"/>
    <w:rsid w:val="008462D8"/>
    <w:rsid w:val="00847CC6"/>
    <w:rsid w:val="00850C37"/>
    <w:rsid w:val="00851E9B"/>
    <w:rsid w:val="008525D5"/>
    <w:rsid w:val="00854426"/>
    <w:rsid w:val="008547CE"/>
    <w:rsid w:val="00854C60"/>
    <w:rsid w:val="008564A0"/>
    <w:rsid w:val="008579F8"/>
    <w:rsid w:val="00863E8D"/>
    <w:rsid w:val="00864C8A"/>
    <w:rsid w:val="00865B0A"/>
    <w:rsid w:val="00873822"/>
    <w:rsid w:val="00873937"/>
    <w:rsid w:val="0087399D"/>
    <w:rsid w:val="00874C6A"/>
    <w:rsid w:val="008762BE"/>
    <w:rsid w:val="00876E16"/>
    <w:rsid w:val="008802E0"/>
    <w:rsid w:val="00881DC7"/>
    <w:rsid w:val="00883DF3"/>
    <w:rsid w:val="0088483F"/>
    <w:rsid w:val="00884CB7"/>
    <w:rsid w:val="00885EA0"/>
    <w:rsid w:val="0088634E"/>
    <w:rsid w:val="00886CBF"/>
    <w:rsid w:val="00890469"/>
    <w:rsid w:val="00890CC8"/>
    <w:rsid w:val="0089457A"/>
    <w:rsid w:val="008946FF"/>
    <w:rsid w:val="00895926"/>
    <w:rsid w:val="00895A61"/>
    <w:rsid w:val="00895D90"/>
    <w:rsid w:val="008A0D87"/>
    <w:rsid w:val="008A1D58"/>
    <w:rsid w:val="008A3F2F"/>
    <w:rsid w:val="008A5945"/>
    <w:rsid w:val="008B05ED"/>
    <w:rsid w:val="008B5821"/>
    <w:rsid w:val="008B6CBB"/>
    <w:rsid w:val="008B77B5"/>
    <w:rsid w:val="008B7823"/>
    <w:rsid w:val="008C1627"/>
    <w:rsid w:val="008C1E59"/>
    <w:rsid w:val="008C2856"/>
    <w:rsid w:val="008C3F90"/>
    <w:rsid w:val="008C440B"/>
    <w:rsid w:val="008D146C"/>
    <w:rsid w:val="008D192D"/>
    <w:rsid w:val="008D236B"/>
    <w:rsid w:val="008D2B43"/>
    <w:rsid w:val="008D373E"/>
    <w:rsid w:val="008D5AA1"/>
    <w:rsid w:val="008D663B"/>
    <w:rsid w:val="008E1534"/>
    <w:rsid w:val="008E2B75"/>
    <w:rsid w:val="008E3C99"/>
    <w:rsid w:val="008E4CA7"/>
    <w:rsid w:val="008E6366"/>
    <w:rsid w:val="008E77CC"/>
    <w:rsid w:val="008E7C82"/>
    <w:rsid w:val="008F13FA"/>
    <w:rsid w:val="008F1C42"/>
    <w:rsid w:val="008F2A48"/>
    <w:rsid w:val="008F2BD8"/>
    <w:rsid w:val="008F325E"/>
    <w:rsid w:val="008F3B6E"/>
    <w:rsid w:val="008F449B"/>
    <w:rsid w:val="008F48DB"/>
    <w:rsid w:val="008F4D02"/>
    <w:rsid w:val="008F4FF5"/>
    <w:rsid w:val="008F6B08"/>
    <w:rsid w:val="008F7298"/>
    <w:rsid w:val="008F7FC0"/>
    <w:rsid w:val="009008E5"/>
    <w:rsid w:val="0090164B"/>
    <w:rsid w:val="00901905"/>
    <w:rsid w:val="00901920"/>
    <w:rsid w:val="00901A26"/>
    <w:rsid w:val="00904202"/>
    <w:rsid w:val="00904415"/>
    <w:rsid w:val="00904D3F"/>
    <w:rsid w:val="00905B41"/>
    <w:rsid w:val="00910005"/>
    <w:rsid w:val="009120F0"/>
    <w:rsid w:val="0091622B"/>
    <w:rsid w:val="009164BF"/>
    <w:rsid w:val="00916DC9"/>
    <w:rsid w:val="00917E5C"/>
    <w:rsid w:val="00922C74"/>
    <w:rsid w:val="00923157"/>
    <w:rsid w:val="00923743"/>
    <w:rsid w:val="009249AC"/>
    <w:rsid w:val="00926D29"/>
    <w:rsid w:val="009316A9"/>
    <w:rsid w:val="00931F62"/>
    <w:rsid w:val="00931FF6"/>
    <w:rsid w:val="0093423B"/>
    <w:rsid w:val="00934AF5"/>
    <w:rsid w:val="00940701"/>
    <w:rsid w:val="00941539"/>
    <w:rsid w:val="00941976"/>
    <w:rsid w:val="00941D09"/>
    <w:rsid w:val="00941D4B"/>
    <w:rsid w:val="00941E18"/>
    <w:rsid w:val="00942222"/>
    <w:rsid w:val="00942A37"/>
    <w:rsid w:val="009439D3"/>
    <w:rsid w:val="00943E1C"/>
    <w:rsid w:val="009447C7"/>
    <w:rsid w:val="00944F26"/>
    <w:rsid w:val="00946A6E"/>
    <w:rsid w:val="009501E6"/>
    <w:rsid w:val="00950756"/>
    <w:rsid w:val="0095127A"/>
    <w:rsid w:val="009512BF"/>
    <w:rsid w:val="009521DE"/>
    <w:rsid w:val="009524D4"/>
    <w:rsid w:val="00953F3E"/>
    <w:rsid w:val="00954910"/>
    <w:rsid w:val="00954FB5"/>
    <w:rsid w:val="009555C6"/>
    <w:rsid w:val="00955798"/>
    <w:rsid w:val="00957595"/>
    <w:rsid w:val="009576FA"/>
    <w:rsid w:val="00960821"/>
    <w:rsid w:val="00963586"/>
    <w:rsid w:val="009644FA"/>
    <w:rsid w:val="00966C3C"/>
    <w:rsid w:val="00966FDC"/>
    <w:rsid w:val="009671C6"/>
    <w:rsid w:val="00967E8A"/>
    <w:rsid w:val="009760B4"/>
    <w:rsid w:val="00980B3A"/>
    <w:rsid w:val="00982E5C"/>
    <w:rsid w:val="00983B18"/>
    <w:rsid w:val="00984B51"/>
    <w:rsid w:val="00991110"/>
    <w:rsid w:val="00991822"/>
    <w:rsid w:val="00992A1E"/>
    <w:rsid w:val="00993DDA"/>
    <w:rsid w:val="00995852"/>
    <w:rsid w:val="00995BF0"/>
    <w:rsid w:val="00997B62"/>
    <w:rsid w:val="00997BEF"/>
    <w:rsid w:val="00997CD1"/>
    <w:rsid w:val="009A06C8"/>
    <w:rsid w:val="009A0F95"/>
    <w:rsid w:val="009A14F9"/>
    <w:rsid w:val="009A1E88"/>
    <w:rsid w:val="009A21F0"/>
    <w:rsid w:val="009A2BE4"/>
    <w:rsid w:val="009A2E1D"/>
    <w:rsid w:val="009A3259"/>
    <w:rsid w:val="009A3ACF"/>
    <w:rsid w:val="009A4CB9"/>
    <w:rsid w:val="009A7C41"/>
    <w:rsid w:val="009B139C"/>
    <w:rsid w:val="009B1663"/>
    <w:rsid w:val="009B1EC9"/>
    <w:rsid w:val="009B2C7C"/>
    <w:rsid w:val="009B3085"/>
    <w:rsid w:val="009B3117"/>
    <w:rsid w:val="009B31B2"/>
    <w:rsid w:val="009B327F"/>
    <w:rsid w:val="009B3AEB"/>
    <w:rsid w:val="009B7CFE"/>
    <w:rsid w:val="009C1A30"/>
    <w:rsid w:val="009C37A5"/>
    <w:rsid w:val="009C508D"/>
    <w:rsid w:val="009C59D2"/>
    <w:rsid w:val="009C635B"/>
    <w:rsid w:val="009C70AA"/>
    <w:rsid w:val="009D0716"/>
    <w:rsid w:val="009D10DB"/>
    <w:rsid w:val="009D2ECC"/>
    <w:rsid w:val="009D462B"/>
    <w:rsid w:val="009D4F40"/>
    <w:rsid w:val="009D5F6B"/>
    <w:rsid w:val="009D6106"/>
    <w:rsid w:val="009D6D61"/>
    <w:rsid w:val="009D709D"/>
    <w:rsid w:val="009D727E"/>
    <w:rsid w:val="009E0F64"/>
    <w:rsid w:val="009E28BE"/>
    <w:rsid w:val="009E5E39"/>
    <w:rsid w:val="009E63C2"/>
    <w:rsid w:val="009E65DF"/>
    <w:rsid w:val="009E6D47"/>
    <w:rsid w:val="009E7A90"/>
    <w:rsid w:val="009E7AD5"/>
    <w:rsid w:val="009E7D01"/>
    <w:rsid w:val="009F1421"/>
    <w:rsid w:val="009F1F33"/>
    <w:rsid w:val="009F2CC8"/>
    <w:rsid w:val="009F305E"/>
    <w:rsid w:val="009F358C"/>
    <w:rsid w:val="009F3D26"/>
    <w:rsid w:val="009F6192"/>
    <w:rsid w:val="009F6B5B"/>
    <w:rsid w:val="009F7156"/>
    <w:rsid w:val="00A008EE"/>
    <w:rsid w:val="00A024A9"/>
    <w:rsid w:val="00A03C2D"/>
    <w:rsid w:val="00A050B8"/>
    <w:rsid w:val="00A122A7"/>
    <w:rsid w:val="00A12513"/>
    <w:rsid w:val="00A1273C"/>
    <w:rsid w:val="00A15E39"/>
    <w:rsid w:val="00A16574"/>
    <w:rsid w:val="00A16607"/>
    <w:rsid w:val="00A172E7"/>
    <w:rsid w:val="00A173B9"/>
    <w:rsid w:val="00A214C3"/>
    <w:rsid w:val="00A24B09"/>
    <w:rsid w:val="00A2521E"/>
    <w:rsid w:val="00A26762"/>
    <w:rsid w:val="00A27388"/>
    <w:rsid w:val="00A32E11"/>
    <w:rsid w:val="00A335C2"/>
    <w:rsid w:val="00A33A8A"/>
    <w:rsid w:val="00A33F47"/>
    <w:rsid w:val="00A359ED"/>
    <w:rsid w:val="00A36354"/>
    <w:rsid w:val="00A37814"/>
    <w:rsid w:val="00A411F9"/>
    <w:rsid w:val="00A419D3"/>
    <w:rsid w:val="00A41D13"/>
    <w:rsid w:val="00A421BB"/>
    <w:rsid w:val="00A422E4"/>
    <w:rsid w:val="00A42E0F"/>
    <w:rsid w:val="00A43050"/>
    <w:rsid w:val="00A443B8"/>
    <w:rsid w:val="00A475B3"/>
    <w:rsid w:val="00A476F7"/>
    <w:rsid w:val="00A53316"/>
    <w:rsid w:val="00A537BA"/>
    <w:rsid w:val="00A54EDC"/>
    <w:rsid w:val="00A556ED"/>
    <w:rsid w:val="00A55C12"/>
    <w:rsid w:val="00A6095D"/>
    <w:rsid w:val="00A61731"/>
    <w:rsid w:val="00A6252A"/>
    <w:rsid w:val="00A6265A"/>
    <w:rsid w:val="00A6395C"/>
    <w:rsid w:val="00A65B28"/>
    <w:rsid w:val="00A661A2"/>
    <w:rsid w:val="00A666B3"/>
    <w:rsid w:val="00A66F15"/>
    <w:rsid w:val="00A674F9"/>
    <w:rsid w:val="00A70CBD"/>
    <w:rsid w:val="00A72CDC"/>
    <w:rsid w:val="00A734CF"/>
    <w:rsid w:val="00A73F98"/>
    <w:rsid w:val="00A74C7C"/>
    <w:rsid w:val="00A77037"/>
    <w:rsid w:val="00A77131"/>
    <w:rsid w:val="00A7721B"/>
    <w:rsid w:val="00A772EB"/>
    <w:rsid w:val="00A7745F"/>
    <w:rsid w:val="00A806A1"/>
    <w:rsid w:val="00A807AA"/>
    <w:rsid w:val="00A82584"/>
    <w:rsid w:val="00A8278A"/>
    <w:rsid w:val="00A832F3"/>
    <w:rsid w:val="00A84543"/>
    <w:rsid w:val="00A84710"/>
    <w:rsid w:val="00A90B8C"/>
    <w:rsid w:val="00A91DDC"/>
    <w:rsid w:val="00A93504"/>
    <w:rsid w:val="00A9397B"/>
    <w:rsid w:val="00A96416"/>
    <w:rsid w:val="00A96F86"/>
    <w:rsid w:val="00A974E9"/>
    <w:rsid w:val="00AA0EC5"/>
    <w:rsid w:val="00AA109E"/>
    <w:rsid w:val="00AA2D7E"/>
    <w:rsid w:val="00AA38C5"/>
    <w:rsid w:val="00AA39FF"/>
    <w:rsid w:val="00AA5C42"/>
    <w:rsid w:val="00AA5D5D"/>
    <w:rsid w:val="00AA5E7E"/>
    <w:rsid w:val="00AA735B"/>
    <w:rsid w:val="00AA7765"/>
    <w:rsid w:val="00AB1028"/>
    <w:rsid w:val="00AB105E"/>
    <w:rsid w:val="00AB18D8"/>
    <w:rsid w:val="00AB41A9"/>
    <w:rsid w:val="00AB5CCA"/>
    <w:rsid w:val="00AB73F9"/>
    <w:rsid w:val="00AC1ABE"/>
    <w:rsid w:val="00AC1E92"/>
    <w:rsid w:val="00AC3FE3"/>
    <w:rsid w:val="00AC74EF"/>
    <w:rsid w:val="00AC75D2"/>
    <w:rsid w:val="00AD021E"/>
    <w:rsid w:val="00AD1981"/>
    <w:rsid w:val="00AD2028"/>
    <w:rsid w:val="00AD271D"/>
    <w:rsid w:val="00AD2DED"/>
    <w:rsid w:val="00AD3D24"/>
    <w:rsid w:val="00AD44F3"/>
    <w:rsid w:val="00AD4E49"/>
    <w:rsid w:val="00AD4F19"/>
    <w:rsid w:val="00AD68E3"/>
    <w:rsid w:val="00AD6A6C"/>
    <w:rsid w:val="00AD776D"/>
    <w:rsid w:val="00AD7BFD"/>
    <w:rsid w:val="00AE0EC9"/>
    <w:rsid w:val="00AE39F0"/>
    <w:rsid w:val="00AE3DAC"/>
    <w:rsid w:val="00AE4597"/>
    <w:rsid w:val="00AE6067"/>
    <w:rsid w:val="00AE64C6"/>
    <w:rsid w:val="00AE65D4"/>
    <w:rsid w:val="00AE6AA0"/>
    <w:rsid w:val="00AE7B90"/>
    <w:rsid w:val="00AF000C"/>
    <w:rsid w:val="00AF0937"/>
    <w:rsid w:val="00AF1DC6"/>
    <w:rsid w:val="00AF2A2F"/>
    <w:rsid w:val="00AF2E67"/>
    <w:rsid w:val="00AF360D"/>
    <w:rsid w:val="00AF3CFF"/>
    <w:rsid w:val="00AF4658"/>
    <w:rsid w:val="00AF5EAE"/>
    <w:rsid w:val="00AF7616"/>
    <w:rsid w:val="00AF7A10"/>
    <w:rsid w:val="00B00375"/>
    <w:rsid w:val="00B02084"/>
    <w:rsid w:val="00B0350A"/>
    <w:rsid w:val="00B03706"/>
    <w:rsid w:val="00B04906"/>
    <w:rsid w:val="00B05CA5"/>
    <w:rsid w:val="00B06EA0"/>
    <w:rsid w:val="00B07E42"/>
    <w:rsid w:val="00B10AE4"/>
    <w:rsid w:val="00B10CC7"/>
    <w:rsid w:val="00B11E9F"/>
    <w:rsid w:val="00B132A5"/>
    <w:rsid w:val="00B13EF1"/>
    <w:rsid w:val="00B159CD"/>
    <w:rsid w:val="00B16512"/>
    <w:rsid w:val="00B200F7"/>
    <w:rsid w:val="00B21120"/>
    <w:rsid w:val="00B21292"/>
    <w:rsid w:val="00B234A7"/>
    <w:rsid w:val="00B23DA8"/>
    <w:rsid w:val="00B23F1D"/>
    <w:rsid w:val="00B2416B"/>
    <w:rsid w:val="00B248C3"/>
    <w:rsid w:val="00B253DC"/>
    <w:rsid w:val="00B2576E"/>
    <w:rsid w:val="00B25FBB"/>
    <w:rsid w:val="00B267E1"/>
    <w:rsid w:val="00B30030"/>
    <w:rsid w:val="00B30D11"/>
    <w:rsid w:val="00B31B17"/>
    <w:rsid w:val="00B3336F"/>
    <w:rsid w:val="00B3390E"/>
    <w:rsid w:val="00B33B8A"/>
    <w:rsid w:val="00B344F4"/>
    <w:rsid w:val="00B34E83"/>
    <w:rsid w:val="00B35045"/>
    <w:rsid w:val="00B355AA"/>
    <w:rsid w:val="00B37CD2"/>
    <w:rsid w:val="00B40007"/>
    <w:rsid w:val="00B411F5"/>
    <w:rsid w:val="00B41E87"/>
    <w:rsid w:val="00B4237E"/>
    <w:rsid w:val="00B44AD2"/>
    <w:rsid w:val="00B44ED5"/>
    <w:rsid w:val="00B45054"/>
    <w:rsid w:val="00B459A5"/>
    <w:rsid w:val="00B46E87"/>
    <w:rsid w:val="00B47E56"/>
    <w:rsid w:val="00B50802"/>
    <w:rsid w:val="00B50B84"/>
    <w:rsid w:val="00B52729"/>
    <w:rsid w:val="00B52F62"/>
    <w:rsid w:val="00B544BE"/>
    <w:rsid w:val="00B54F63"/>
    <w:rsid w:val="00B55018"/>
    <w:rsid w:val="00B554F7"/>
    <w:rsid w:val="00B55F61"/>
    <w:rsid w:val="00B56B06"/>
    <w:rsid w:val="00B60468"/>
    <w:rsid w:val="00B61E3F"/>
    <w:rsid w:val="00B63056"/>
    <w:rsid w:val="00B632CF"/>
    <w:rsid w:val="00B652BB"/>
    <w:rsid w:val="00B65C13"/>
    <w:rsid w:val="00B6613D"/>
    <w:rsid w:val="00B66385"/>
    <w:rsid w:val="00B66702"/>
    <w:rsid w:val="00B6704B"/>
    <w:rsid w:val="00B670CC"/>
    <w:rsid w:val="00B67A0A"/>
    <w:rsid w:val="00B70B44"/>
    <w:rsid w:val="00B7347D"/>
    <w:rsid w:val="00B73DE3"/>
    <w:rsid w:val="00B7475A"/>
    <w:rsid w:val="00B74BF2"/>
    <w:rsid w:val="00B7784B"/>
    <w:rsid w:val="00B8190E"/>
    <w:rsid w:val="00B83CD5"/>
    <w:rsid w:val="00B84AC0"/>
    <w:rsid w:val="00B9095C"/>
    <w:rsid w:val="00B90D9D"/>
    <w:rsid w:val="00B92D00"/>
    <w:rsid w:val="00B94039"/>
    <w:rsid w:val="00B940C0"/>
    <w:rsid w:val="00B956B2"/>
    <w:rsid w:val="00B9636A"/>
    <w:rsid w:val="00B97E9D"/>
    <w:rsid w:val="00BA145E"/>
    <w:rsid w:val="00BA1DD3"/>
    <w:rsid w:val="00BA2239"/>
    <w:rsid w:val="00BA62B1"/>
    <w:rsid w:val="00BA7AB5"/>
    <w:rsid w:val="00BB0B93"/>
    <w:rsid w:val="00BB0E4B"/>
    <w:rsid w:val="00BB196C"/>
    <w:rsid w:val="00BB2706"/>
    <w:rsid w:val="00BB2EE9"/>
    <w:rsid w:val="00BB4232"/>
    <w:rsid w:val="00BB543A"/>
    <w:rsid w:val="00BB67D3"/>
    <w:rsid w:val="00BB6F43"/>
    <w:rsid w:val="00BB701C"/>
    <w:rsid w:val="00BB7FC9"/>
    <w:rsid w:val="00BC0B73"/>
    <w:rsid w:val="00BC26E5"/>
    <w:rsid w:val="00BC3656"/>
    <w:rsid w:val="00BC3D0C"/>
    <w:rsid w:val="00BC4251"/>
    <w:rsid w:val="00BC6ADE"/>
    <w:rsid w:val="00BC75E0"/>
    <w:rsid w:val="00BD065E"/>
    <w:rsid w:val="00BD0E7B"/>
    <w:rsid w:val="00BD2063"/>
    <w:rsid w:val="00BD2A58"/>
    <w:rsid w:val="00BD3265"/>
    <w:rsid w:val="00BD4219"/>
    <w:rsid w:val="00BD4693"/>
    <w:rsid w:val="00BD59ED"/>
    <w:rsid w:val="00BD6757"/>
    <w:rsid w:val="00BD7183"/>
    <w:rsid w:val="00BD7AE5"/>
    <w:rsid w:val="00BE3583"/>
    <w:rsid w:val="00BE412B"/>
    <w:rsid w:val="00BE45A5"/>
    <w:rsid w:val="00BE5231"/>
    <w:rsid w:val="00BE7220"/>
    <w:rsid w:val="00BF13D4"/>
    <w:rsid w:val="00BF24DA"/>
    <w:rsid w:val="00BF33BF"/>
    <w:rsid w:val="00BF3932"/>
    <w:rsid w:val="00BF534C"/>
    <w:rsid w:val="00C00492"/>
    <w:rsid w:val="00C00994"/>
    <w:rsid w:val="00C0162F"/>
    <w:rsid w:val="00C02104"/>
    <w:rsid w:val="00C0224C"/>
    <w:rsid w:val="00C04D81"/>
    <w:rsid w:val="00C07526"/>
    <w:rsid w:val="00C077B9"/>
    <w:rsid w:val="00C07A0B"/>
    <w:rsid w:val="00C11B83"/>
    <w:rsid w:val="00C11E98"/>
    <w:rsid w:val="00C12947"/>
    <w:rsid w:val="00C13895"/>
    <w:rsid w:val="00C160DD"/>
    <w:rsid w:val="00C167C3"/>
    <w:rsid w:val="00C1767E"/>
    <w:rsid w:val="00C21CB1"/>
    <w:rsid w:val="00C21DF7"/>
    <w:rsid w:val="00C23088"/>
    <w:rsid w:val="00C233DB"/>
    <w:rsid w:val="00C23674"/>
    <w:rsid w:val="00C23807"/>
    <w:rsid w:val="00C23C9B"/>
    <w:rsid w:val="00C245FD"/>
    <w:rsid w:val="00C26276"/>
    <w:rsid w:val="00C26B23"/>
    <w:rsid w:val="00C26CDA"/>
    <w:rsid w:val="00C27F76"/>
    <w:rsid w:val="00C36485"/>
    <w:rsid w:val="00C364E8"/>
    <w:rsid w:val="00C365E4"/>
    <w:rsid w:val="00C372A5"/>
    <w:rsid w:val="00C37D6A"/>
    <w:rsid w:val="00C42A40"/>
    <w:rsid w:val="00C45E6F"/>
    <w:rsid w:val="00C46A99"/>
    <w:rsid w:val="00C477D9"/>
    <w:rsid w:val="00C509E5"/>
    <w:rsid w:val="00C50DF2"/>
    <w:rsid w:val="00C52EBF"/>
    <w:rsid w:val="00C537B4"/>
    <w:rsid w:val="00C53E1E"/>
    <w:rsid w:val="00C54475"/>
    <w:rsid w:val="00C549CF"/>
    <w:rsid w:val="00C5650B"/>
    <w:rsid w:val="00C571A2"/>
    <w:rsid w:val="00C571E6"/>
    <w:rsid w:val="00C608CA"/>
    <w:rsid w:val="00C60C63"/>
    <w:rsid w:val="00C61402"/>
    <w:rsid w:val="00C633EE"/>
    <w:rsid w:val="00C65099"/>
    <w:rsid w:val="00C6552E"/>
    <w:rsid w:val="00C67217"/>
    <w:rsid w:val="00C6791A"/>
    <w:rsid w:val="00C71067"/>
    <w:rsid w:val="00C714A9"/>
    <w:rsid w:val="00C71901"/>
    <w:rsid w:val="00C72024"/>
    <w:rsid w:val="00C7367F"/>
    <w:rsid w:val="00C756EF"/>
    <w:rsid w:val="00C7586D"/>
    <w:rsid w:val="00C76026"/>
    <w:rsid w:val="00C76638"/>
    <w:rsid w:val="00C80240"/>
    <w:rsid w:val="00C80F73"/>
    <w:rsid w:val="00C822FD"/>
    <w:rsid w:val="00C83A8B"/>
    <w:rsid w:val="00C8473E"/>
    <w:rsid w:val="00C8534E"/>
    <w:rsid w:val="00C855C5"/>
    <w:rsid w:val="00C86C90"/>
    <w:rsid w:val="00C873E8"/>
    <w:rsid w:val="00C874C3"/>
    <w:rsid w:val="00C90EBB"/>
    <w:rsid w:val="00C90FB1"/>
    <w:rsid w:val="00C91A1D"/>
    <w:rsid w:val="00C929FE"/>
    <w:rsid w:val="00C92A81"/>
    <w:rsid w:val="00C93864"/>
    <w:rsid w:val="00C94154"/>
    <w:rsid w:val="00C94D36"/>
    <w:rsid w:val="00C9510D"/>
    <w:rsid w:val="00C96F7F"/>
    <w:rsid w:val="00C97374"/>
    <w:rsid w:val="00CA0162"/>
    <w:rsid w:val="00CA0937"/>
    <w:rsid w:val="00CA3CB0"/>
    <w:rsid w:val="00CA542C"/>
    <w:rsid w:val="00CA5DA6"/>
    <w:rsid w:val="00CA78C0"/>
    <w:rsid w:val="00CB0C42"/>
    <w:rsid w:val="00CB16D8"/>
    <w:rsid w:val="00CB28ED"/>
    <w:rsid w:val="00CB351C"/>
    <w:rsid w:val="00CB45B8"/>
    <w:rsid w:val="00CB4BFB"/>
    <w:rsid w:val="00CB55F2"/>
    <w:rsid w:val="00CB6FD8"/>
    <w:rsid w:val="00CC1D87"/>
    <w:rsid w:val="00CC2258"/>
    <w:rsid w:val="00CC22FD"/>
    <w:rsid w:val="00CC27B6"/>
    <w:rsid w:val="00CC2997"/>
    <w:rsid w:val="00CC32B7"/>
    <w:rsid w:val="00CC59F0"/>
    <w:rsid w:val="00CC646D"/>
    <w:rsid w:val="00CD1B7C"/>
    <w:rsid w:val="00CD585C"/>
    <w:rsid w:val="00CD5EA5"/>
    <w:rsid w:val="00CD6501"/>
    <w:rsid w:val="00CD6D39"/>
    <w:rsid w:val="00CD6F63"/>
    <w:rsid w:val="00CD709A"/>
    <w:rsid w:val="00CE07D1"/>
    <w:rsid w:val="00CE102E"/>
    <w:rsid w:val="00CE119A"/>
    <w:rsid w:val="00CE12A6"/>
    <w:rsid w:val="00CE1CB6"/>
    <w:rsid w:val="00CE3A96"/>
    <w:rsid w:val="00CE50EA"/>
    <w:rsid w:val="00CE7564"/>
    <w:rsid w:val="00CF035E"/>
    <w:rsid w:val="00CF1CCB"/>
    <w:rsid w:val="00CF2EEF"/>
    <w:rsid w:val="00CF474C"/>
    <w:rsid w:val="00CF600E"/>
    <w:rsid w:val="00CF6331"/>
    <w:rsid w:val="00CF77B0"/>
    <w:rsid w:val="00D00B27"/>
    <w:rsid w:val="00D00F46"/>
    <w:rsid w:val="00D0197D"/>
    <w:rsid w:val="00D02EC5"/>
    <w:rsid w:val="00D0747F"/>
    <w:rsid w:val="00D10678"/>
    <w:rsid w:val="00D10E8B"/>
    <w:rsid w:val="00D11BF6"/>
    <w:rsid w:val="00D11F67"/>
    <w:rsid w:val="00D1207F"/>
    <w:rsid w:val="00D124AB"/>
    <w:rsid w:val="00D1273E"/>
    <w:rsid w:val="00D1458A"/>
    <w:rsid w:val="00D16010"/>
    <w:rsid w:val="00D16875"/>
    <w:rsid w:val="00D17069"/>
    <w:rsid w:val="00D17496"/>
    <w:rsid w:val="00D20C28"/>
    <w:rsid w:val="00D23199"/>
    <w:rsid w:val="00D24D5D"/>
    <w:rsid w:val="00D25362"/>
    <w:rsid w:val="00D26050"/>
    <w:rsid w:val="00D265D3"/>
    <w:rsid w:val="00D27B30"/>
    <w:rsid w:val="00D30AAD"/>
    <w:rsid w:val="00D319E6"/>
    <w:rsid w:val="00D31F60"/>
    <w:rsid w:val="00D322BB"/>
    <w:rsid w:val="00D359FB"/>
    <w:rsid w:val="00D35CB4"/>
    <w:rsid w:val="00D37287"/>
    <w:rsid w:val="00D37E29"/>
    <w:rsid w:val="00D43050"/>
    <w:rsid w:val="00D443BF"/>
    <w:rsid w:val="00D44552"/>
    <w:rsid w:val="00D44859"/>
    <w:rsid w:val="00D44890"/>
    <w:rsid w:val="00D47250"/>
    <w:rsid w:val="00D473E4"/>
    <w:rsid w:val="00D47488"/>
    <w:rsid w:val="00D55B20"/>
    <w:rsid w:val="00D56E82"/>
    <w:rsid w:val="00D570A4"/>
    <w:rsid w:val="00D641ED"/>
    <w:rsid w:val="00D649D5"/>
    <w:rsid w:val="00D666AD"/>
    <w:rsid w:val="00D667E3"/>
    <w:rsid w:val="00D669AA"/>
    <w:rsid w:val="00D67815"/>
    <w:rsid w:val="00D678F9"/>
    <w:rsid w:val="00D67A2B"/>
    <w:rsid w:val="00D70C21"/>
    <w:rsid w:val="00D7536E"/>
    <w:rsid w:val="00D76C95"/>
    <w:rsid w:val="00D7702F"/>
    <w:rsid w:val="00D77DAC"/>
    <w:rsid w:val="00D80FA7"/>
    <w:rsid w:val="00D814EE"/>
    <w:rsid w:val="00D81CB4"/>
    <w:rsid w:val="00D820DF"/>
    <w:rsid w:val="00D82AE5"/>
    <w:rsid w:val="00D8337C"/>
    <w:rsid w:val="00D83F8F"/>
    <w:rsid w:val="00D85DB5"/>
    <w:rsid w:val="00D85FF2"/>
    <w:rsid w:val="00D86971"/>
    <w:rsid w:val="00D91576"/>
    <w:rsid w:val="00D92664"/>
    <w:rsid w:val="00D9304B"/>
    <w:rsid w:val="00D95EEB"/>
    <w:rsid w:val="00DA01B7"/>
    <w:rsid w:val="00DA30C2"/>
    <w:rsid w:val="00DA521F"/>
    <w:rsid w:val="00DA79F5"/>
    <w:rsid w:val="00DB0361"/>
    <w:rsid w:val="00DB1D57"/>
    <w:rsid w:val="00DB1EB4"/>
    <w:rsid w:val="00DB2F65"/>
    <w:rsid w:val="00DB4396"/>
    <w:rsid w:val="00DB465A"/>
    <w:rsid w:val="00DB4E43"/>
    <w:rsid w:val="00DB580B"/>
    <w:rsid w:val="00DB6B7D"/>
    <w:rsid w:val="00DB7734"/>
    <w:rsid w:val="00DB7CDB"/>
    <w:rsid w:val="00DC0775"/>
    <w:rsid w:val="00DC14A1"/>
    <w:rsid w:val="00DC1A76"/>
    <w:rsid w:val="00DC1FC8"/>
    <w:rsid w:val="00DC2754"/>
    <w:rsid w:val="00DC63C0"/>
    <w:rsid w:val="00DD3857"/>
    <w:rsid w:val="00DD58A4"/>
    <w:rsid w:val="00DD71F7"/>
    <w:rsid w:val="00DD7E74"/>
    <w:rsid w:val="00DE013A"/>
    <w:rsid w:val="00DE0387"/>
    <w:rsid w:val="00DE0B4E"/>
    <w:rsid w:val="00DE1E87"/>
    <w:rsid w:val="00DE3439"/>
    <w:rsid w:val="00DE34E1"/>
    <w:rsid w:val="00DE38E2"/>
    <w:rsid w:val="00DE3944"/>
    <w:rsid w:val="00DE559D"/>
    <w:rsid w:val="00DE5804"/>
    <w:rsid w:val="00DF2ECD"/>
    <w:rsid w:val="00DF349A"/>
    <w:rsid w:val="00DF5341"/>
    <w:rsid w:val="00DF5C9F"/>
    <w:rsid w:val="00DF5CB4"/>
    <w:rsid w:val="00DF5CE8"/>
    <w:rsid w:val="00DF7C96"/>
    <w:rsid w:val="00DF7FB9"/>
    <w:rsid w:val="00E01062"/>
    <w:rsid w:val="00E01BCF"/>
    <w:rsid w:val="00E03372"/>
    <w:rsid w:val="00E03E0A"/>
    <w:rsid w:val="00E03E92"/>
    <w:rsid w:val="00E04022"/>
    <w:rsid w:val="00E044C2"/>
    <w:rsid w:val="00E0605D"/>
    <w:rsid w:val="00E106D5"/>
    <w:rsid w:val="00E12F33"/>
    <w:rsid w:val="00E1375B"/>
    <w:rsid w:val="00E14CA3"/>
    <w:rsid w:val="00E14ED4"/>
    <w:rsid w:val="00E16303"/>
    <w:rsid w:val="00E17179"/>
    <w:rsid w:val="00E21B12"/>
    <w:rsid w:val="00E22850"/>
    <w:rsid w:val="00E230EA"/>
    <w:rsid w:val="00E264F6"/>
    <w:rsid w:val="00E26EDF"/>
    <w:rsid w:val="00E2778C"/>
    <w:rsid w:val="00E30755"/>
    <w:rsid w:val="00E30B59"/>
    <w:rsid w:val="00E30DC3"/>
    <w:rsid w:val="00E3125C"/>
    <w:rsid w:val="00E31D71"/>
    <w:rsid w:val="00E31DA1"/>
    <w:rsid w:val="00E32242"/>
    <w:rsid w:val="00E338C0"/>
    <w:rsid w:val="00E34EAA"/>
    <w:rsid w:val="00E3533B"/>
    <w:rsid w:val="00E3650C"/>
    <w:rsid w:val="00E369DF"/>
    <w:rsid w:val="00E36D3A"/>
    <w:rsid w:val="00E36EFC"/>
    <w:rsid w:val="00E378B2"/>
    <w:rsid w:val="00E400A1"/>
    <w:rsid w:val="00E407E9"/>
    <w:rsid w:val="00E41E43"/>
    <w:rsid w:val="00E438C6"/>
    <w:rsid w:val="00E439DB"/>
    <w:rsid w:val="00E43BD6"/>
    <w:rsid w:val="00E44B60"/>
    <w:rsid w:val="00E47D61"/>
    <w:rsid w:val="00E50799"/>
    <w:rsid w:val="00E52A2E"/>
    <w:rsid w:val="00E537CD"/>
    <w:rsid w:val="00E55156"/>
    <w:rsid w:val="00E60481"/>
    <w:rsid w:val="00E61376"/>
    <w:rsid w:val="00E64F09"/>
    <w:rsid w:val="00E65125"/>
    <w:rsid w:val="00E66CCC"/>
    <w:rsid w:val="00E66F52"/>
    <w:rsid w:val="00E67998"/>
    <w:rsid w:val="00E707C8"/>
    <w:rsid w:val="00E72501"/>
    <w:rsid w:val="00E7316B"/>
    <w:rsid w:val="00E73641"/>
    <w:rsid w:val="00E73765"/>
    <w:rsid w:val="00E73BA1"/>
    <w:rsid w:val="00E748D3"/>
    <w:rsid w:val="00E77F8E"/>
    <w:rsid w:val="00E81A29"/>
    <w:rsid w:val="00E82B74"/>
    <w:rsid w:val="00E82D47"/>
    <w:rsid w:val="00E83234"/>
    <w:rsid w:val="00E832CE"/>
    <w:rsid w:val="00E83FE1"/>
    <w:rsid w:val="00E843F1"/>
    <w:rsid w:val="00E84457"/>
    <w:rsid w:val="00E8476F"/>
    <w:rsid w:val="00E851F8"/>
    <w:rsid w:val="00E859C5"/>
    <w:rsid w:val="00E869FB"/>
    <w:rsid w:val="00E9004A"/>
    <w:rsid w:val="00E91918"/>
    <w:rsid w:val="00E92C31"/>
    <w:rsid w:val="00E9321B"/>
    <w:rsid w:val="00E9355A"/>
    <w:rsid w:val="00E96FB2"/>
    <w:rsid w:val="00E977C5"/>
    <w:rsid w:val="00EA1A08"/>
    <w:rsid w:val="00EA23E6"/>
    <w:rsid w:val="00EA2F1F"/>
    <w:rsid w:val="00EA48E9"/>
    <w:rsid w:val="00EA49C9"/>
    <w:rsid w:val="00EA51DA"/>
    <w:rsid w:val="00EA5615"/>
    <w:rsid w:val="00EA5765"/>
    <w:rsid w:val="00EB1242"/>
    <w:rsid w:val="00EB2957"/>
    <w:rsid w:val="00EB3CB4"/>
    <w:rsid w:val="00EB6C29"/>
    <w:rsid w:val="00EC0455"/>
    <w:rsid w:val="00EC0D77"/>
    <w:rsid w:val="00EC1893"/>
    <w:rsid w:val="00EC2D57"/>
    <w:rsid w:val="00EC38DA"/>
    <w:rsid w:val="00EC3C24"/>
    <w:rsid w:val="00EC3CA0"/>
    <w:rsid w:val="00EC4AD0"/>
    <w:rsid w:val="00EC4EEE"/>
    <w:rsid w:val="00EC6915"/>
    <w:rsid w:val="00EC6B20"/>
    <w:rsid w:val="00EC78C8"/>
    <w:rsid w:val="00ED0696"/>
    <w:rsid w:val="00ED258F"/>
    <w:rsid w:val="00ED3A1D"/>
    <w:rsid w:val="00ED3C9E"/>
    <w:rsid w:val="00ED3FA0"/>
    <w:rsid w:val="00ED422B"/>
    <w:rsid w:val="00ED57F1"/>
    <w:rsid w:val="00ED5C33"/>
    <w:rsid w:val="00ED6384"/>
    <w:rsid w:val="00ED6567"/>
    <w:rsid w:val="00ED77EA"/>
    <w:rsid w:val="00EE1646"/>
    <w:rsid w:val="00EE171C"/>
    <w:rsid w:val="00EE2AB2"/>
    <w:rsid w:val="00EE3B89"/>
    <w:rsid w:val="00EE5471"/>
    <w:rsid w:val="00EE5B17"/>
    <w:rsid w:val="00EF07B4"/>
    <w:rsid w:val="00EF4813"/>
    <w:rsid w:val="00EF48A8"/>
    <w:rsid w:val="00F00298"/>
    <w:rsid w:val="00F003D5"/>
    <w:rsid w:val="00F008D3"/>
    <w:rsid w:val="00F046C2"/>
    <w:rsid w:val="00F06CF5"/>
    <w:rsid w:val="00F07F60"/>
    <w:rsid w:val="00F10CF0"/>
    <w:rsid w:val="00F1144E"/>
    <w:rsid w:val="00F153AD"/>
    <w:rsid w:val="00F15709"/>
    <w:rsid w:val="00F15CD2"/>
    <w:rsid w:val="00F17AA2"/>
    <w:rsid w:val="00F21151"/>
    <w:rsid w:val="00F21263"/>
    <w:rsid w:val="00F22717"/>
    <w:rsid w:val="00F22E6F"/>
    <w:rsid w:val="00F23F23"/>
    <w:rsid w:val="00F24859"/>
    <w:rsid w:val="00F25441"/>
    <w:rsid w:val="00F255C1"/>
    <w:rsid w:val="00F27BB2"/>
    <w:rsid w:val="00F3094C"/>
    <w:rsid w:val="00F312C6"/>
    <w:rsid w:val="00F31CD3"/>
    <w:rsid w:val="00F32EAD"/>
    <w:rsid w:val="00F3381D"/>
    <w:rsid w:val="00F33F6C"/>
    <w:rsid w:val="00F348D1"/>
    <w:rsid w:val="00F35BC8"/>
    <w:rsid w:val="00F4074B"/>
    <w:rsid w:val="00F45072"/>
    <w:rsid w:val="00F452F2"/>
    <w:rsid w:val="00F4597A"/>
    <w:rsid w:val="00F46542"/>
    <w:rsid w:val="00F466DF"/>
    <w:rsid w:val="00F51810"/>
    <w:rsid w:val="00F531D8"/>
    <w:rsid w:val="00F54942"/>
    <w:rsid w:val="00F55D0F"/>
    <w:rsid w:val="00F55FA5"/>
    <w:rsid w:val="00F560C8"/>
    <w:rsid w:val="00F56524"/>
    <w:rsid w:val="00F57154"/>
    <w:rsid w:val="00F57525"/>
    <w:rsid w:val="00F621F2"/>
    <w:rsid w:val="00F63060"/>
    <w:rsid w:val="00F632FA"/>
    <w:rsid w:val="00F6581D"/>
    <w:rsid w:val="00F6739E"/>
    <w:rsid w:val="00F70F1A"/>
    <w:rsid w:val="00F71503"/>
    <w:rsid w:val="00F71D81"/>
    <w:rsid w:val="00F745A4"/>
    <w:rsid w:val="00F74A39"/>
    <w:rsid w:val="00F74C7C"/>
    <w:rsid w:val="00F75A16"/>
    <w:rsid w:val="00F76C92"/>
    <w:rsid w:val="00F80ACD"/>
    <w:rsid w:val="00F83367"/>
    <w:rsid w:val="00F84358"/>
    <w:rsid w:val="00F850BE"/>
    <w:rsid w:val="00F869D4"/>
    <w:rsid w:val="00F87AAB"/>
    <w:rsid w:val="00F929AE"/>
    <w:rsid w:val="00F93915"/>
    <w:rsid w:val="00F93EF2"/>
    <w:rsid w:val="00F95F86"/>
    <w:rsid w:val="00F9650F"/>
    <w:rsid w:val="00F96CEC"/>
    <w:rsid w:val="00FA1897"/>
    <w:rsid w:val="00FA1BAE"/>
    <w:rsid w:val="00FA2FAA"/>
    <w:rsid w:val="00FA3D74"/>
    <w:rsid w:val="00FA3DB1"/>
    <w:rsid w:val="00FA4696"/>
    <w:rsid w:val="00FA512E"/>
    <w:rsid w:val="00FA57F9"/>
    <w:rsid w:val="00FA58B4"/>
    <w:rsid w:val="00FA602F"/>
    <w:rsid w:val="00FA62C9"/>
    <w:rsid w:val="00FB01B5"/>
    <w:rsid w:val="00FB1F78"/>
    <w:rsid w:val="00FB236F"/>
    <w:rsid w:val="00FB34B7"/>
    <w:rsid w:val="00FC24EA"/>
    <w:rsid w:val="00FC7648"/>
    <w:rsid w:val="00FD007C"/>
    <w:rsid w:val="00FD01B6"/>
    <w:rsid w:val="00FD0957"/>
    <w:rsid w:val="00FD24B4"/>
    <w:rsid w:val="00FD3681"/>
    <w:rsid w:val="00FD6768"/>
    <w:rsid w:val="00FD6E98"/>
    <w:rsid w:val="00FD7B20"/>
    <w:rsid w:val="00FE00DC"/>
    <w:rsid w:val="00FE0EE9"/>
    <w:rsid w:val="00FE16F1"/>
    <w:rsid w:val="00FE1FF9"/>
    <w:rsid w:val="00FE2083"/>
    <w:rsid w:val="00FE2250"/>
    <w:rsid w:val="00FE2B08"/>
    <w:rsid w:val="00FE4078"/>
    <w:rsid w:val="00FE46E1"/>
    <w:rsid w:val="00FE50A4"/>
    <w:rsid w:val="00FE7707"/>
    <w:rsid w:val="00FF0B06"/>
    <w:rsid w:val="00FF0B60"/>
    <w:rsid w:val="00FF2246"/>
    <w:rsid w:val="00FF2918"/>
    <w:rsid w:val="00FF473D"/>
    <w:rsid w:val="00FF49FD"/>
    <w:rsid w:val="00FF5168"/>
    <w:rsid w:val="00FF6F94"/>
    <w:rsid w:val="11A478A8"/>
    <w:rsid w:val="4CFF2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7"/>
    <w:semiHidden/>
    <w:unhideWhenUsed/>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8"/>
    <w:semiHidden/>
    <w:unhideWhenUsed/>
    <w:qFormat/>
    <w:uiPriority w:val="99"/>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annotation reference"/>
    <w:basedOn w:val="9"/>
    <w:semiHidden/>
    <w:unhideWhenUsed/>
    <w:qFormat/>
    <w:uiPriority w:val="99"/>
    <w:rPr>
      <w:sz w:val="21"/>
      <w:szCs w:val="21"/>
    </w:rPr>
  </w:style>
  <w:style w:type="paragraph" w:styleId="11">
    <w:name w:val="List Paragraph"/>
    <w:basedOn w:val="1"/>
    <w:qFormat/>
    <w:uiPriority w:val="34"/>
    <w:pPr>
      <w:ind w:firstLine="420" w:firstLineChars="200"/>
    </w:pPr>
  </w:style>
  <w:style w:type="character" w:customStyle="1" w:styleId="12">
    <w:name w:val="apple-converted-space"/>
    <w:basedOn w:val="9"/>
    <w:qFormat/>
    <w:uiPriority w:val="0"/>
  </w:style>
  <w:style w:type="character" w:customStyle="1" w:styleId="13">
    <w:name w:val="页眉 Char"/>
    <w:basedOn w:val="9"/>
    <w:link w:val="5"/>
    <w:qFormat/>
    <w:uiPriority w:val="99"/>
    <w:rPr>
      <w:sz w:val="18"/>
      <w:szCs w:val="18"/>
    </w:rPr>
  </w:style>
  <w:style w:type="character" w:customStyle="1" w:styleId="14">
    <w:name w:val="页脚 Char"/>
    <w:basedOn w:val="9"/>
    <w:link w:val="4"/>
    <w:qFormat/>
    <w:uiPriority w:val="99"/>
    <w:rPr>
      <w:sz w:val="18"/>
      <w:szCs w:val="18"/>
    </w:rPr>
  </w:style>
  <w:style w:type="character" w:customStyle="1" w:styleId="15">
    <w:name w:val="批注框文本 Char"/>
    <w:basedOn w:val="9"/>
    <w:link w:val="3"/>
    <w:semiHidden/>
    <w:qFormat/>
    <w:uiPriority w:val="99"/>
    <w:rPr>
      <w:sz w:val="18"/>
      <w:szCs w:val="18"/>
    </w:rPr>
  </w:style>
  <w:style w:type="paragraph" w:customStyle="1" w:styleId="16">
    <w:name w:val="Default"/>
    <w:uiPriority w:val="0"/>
    <w:pPr>
      <w:widowControl w:val="0"/>
      <w:autoSpaceDE w:val="0"/>
      <w:autoSpaceDN w:val="0"/>
      <w:adjustRightInd w:val="0"/>
    </w:pPr>
    <w:rPr>
      <w:rFonts w:ascii="微软雅黑" w:hAnsi="微软雅黑" w:cs="微软雅黑" w:eastAsiaTheme="minorEastAsia"/>
      <w:color w:val="000000"/>
      <w:kern w:val="0"/>
      <w:sz w:val="24"/>
      <w:szCs w:val="24"/>
      <w:lang w:val="en-US" w:eastAsia="zh-CN" w:bidi="ar-SA"/>
    </w:rPr>
  </w:style>
  <w:style w:type="character" w:customStyle="1" w:styleId="17">
    <w:name w:val="批注文字 Char"/>
    <w:basedOn w:val="9"/>
    <w:link w:val="2"/>
    <w:semiHidden/>
    <w:qFormat/>
    <w:uiPriority w:val="99"/>
  </w:style>
  <w:style w:type="character" w:customStyle="1" w:styleId="18">
    <w:name w:val="批注主题 Char"/>
    <w:basedOn w:val="17"/>
    <w:link w:val="6"/>
    <w:semiHidden/>
    <w:qFormat/>
    <w:uiPriority w:val="99"/>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0BDC47-0515-4469-85E7-A3E8372A885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Pages>
  <Words>2314</Words>
  <Characters>2331</Characters>
  <Lines>17</Lines>
  <Paragraphs>4</Paragraphs>
  <TotalTime>49</TotalTime>
  <ScaleCrop>false</ScaleCrop>
  <LinksUpToDate>false</LinksUpToDate>
  <CharactersWithSpaces>2358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2025-12-16T21:31:00Z</dcterms:created>
  <dc:creator>wangyan</dc:creator>
  <cp:lastModifiedBy>ZYJ</cp:lastModifiedBy>
  <cp:lastPrinted>2013-11-29T08:11:00Z</cp:lastPrinted>
  <dcterms:modified xsi:type="dcterms:W3CDTF">2026-01-07T03:13:13Z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eyJoZGlkIjoiZTAzNGRmODY5YzIzNmEyZThmNzgxYmI3YmI4NTI0MTgiLCJ1c2VySWQiOiIyMDI5ODAxOTgifQ==</vt:lpwstr>
  </property>
  <property fmtid="{D5CDD505-2E9C-101B-9397-08002B2CF9AE}" pid="3" name="KSOProductBuildVer">
    <vt:lpwstr>2052-12.1.0.24034</vt:lpwstr>
  </property>
  <property fmtid="{D5CDD505-2E9C-101B-9397-08002B2CF9AE}" pid="4" name="ICV">
    <vt:lpwstr>3B169B408DD54547A5BD535ECE899341_12</vt:lpwstr>
  </property>
</Properties>
</file>